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right"/>
        <w:rPr>
          <w:rFonts w:eastAsia="黑体"/>
          <w:b/>
          <w:color w:val="000000" w:themeColor="text1"/>
          <w:szCs w:val="21"/>
          <w14:textFill>
            <w14:solidFill>
              <w14:schemeClr w14:val="tx1"/>
            </w14:solidFill>
          </w14:textFill>
        </w:rPr>
      </w:pPr>
      <w:bookmarkStart w:id="0" w:name="_Toc515369595"/>
      <w:r>
        <w:rPr>
          <w:rFonts w:hint="eastAsia" w:ascii="黑体" w:eastAsia="黑体"/>
          <w:color w:val="000000" w:themeColor="text1"/>
          <w:szCs w:val="21"/>
          <w14:textFill>
            <w14:solidFill>
              <w14:schemeClr w14:val="tx1"/>
            </w14:solidFill>
          </w14:textFill>
        </w:rPr>
        <w:t>学    号：</w:t>
      </w:r>
      <w:r>
        <w:rPr>
          <w:rFonts w:hint="eastAsia" w:eastAsia="黑体"/>
          <w:b/>
          <w:color w:val="000000" w:themeColor="text1"/>
          <w:szCs w:val="21"/>
          <w14:textFill>
            <w14:solidFill>
              <w14:schemeClr w14:val="tx1"/>
            </w14:solidFill>
          </w14:textFill>
        </w:rPr>
        <w:t>20140193</w:t>
      </w:r>
    </w:p>
    <w:p>
      <w:pPr>
        <w:spacing w:line="420" w:lineRule="exact"/>
        <w:ind w:firstLine="6746" w:firstLineChars="3200"/>
        <w:rPr>
          <w:rFonts w:eastAsia="黑体"/>
          <w:b/>
          <w:bCs/>
          <w:color w:val="000000" w:themeColor="text1"/>
          <w:szCs w:val="21"/>
          <w14:textFill>
            <w14:solidFill>
              <w14:schemeClr w14:val="tx1"/>
            </w14:solidFill>
          </w14:textFill>
        </w:rPr>
      </w:pPr>
    </w:p>
    <w:p>
      <w:pPr>
        <w:spacing w:line="420" w:lineRule="exact"/>
        <w:ind w:firstLine="6746" w:firstLineChars="3200"/>
        <w:rPr>
          <w:rFonts w:eastAsia="黑体"/>
          <w:b/>
          <w:bCs/>
          <w:color w:val="000000" w:themeColor="text1"/>
          <w:szCs w:val="21"/>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天 津 商 业 大 学 毕 业 论 文</w:t>
      </w:r>
    </w:p>
    <w:p>
      <w:pPr>
        <w:rPr>
          <w:rFonts w:eastAsia="黑体"/>
          <w:color w:val="000000" w:themeColor="text1"/>
          <w14:textFill>
            <w14:solidFill>
              <w14:schemeClr w14:val="tx1"/>
            </w14:solidFill>
          </w14:textFill>
        </w:rPr>
      </w:pPr>
    </w:p>
    <w:p>
      <w:pPr>
        <w:jc w:val="center"/>
        <w:rPr>
          <w:rFonts w:ascii="宋体" w:hAnsi="宋体" w:eastAsia="黑体"/>
          <w:b/>
          <w:bCs/>
          <w:color w:val="000000" w:themeColor="text1"/>
          <w14:textFill>
            <w14:solidFill>
              <w14:schemeClr w14:val="tx1"/>
            </w14:solidFill>
          </w14:textFill>
        </w:rPr>
      </w:pPr>
      <w:r>
        <w:rPr>
          <w:rFonts w:hint="eastAsia" w:ascii="宋体" w:hAnsi="宋体" w:eastAsia="黑体"/>
          <w:b/>
          <w:bCs/>
          <w:color w:val="000000" w:themeColor="text1"/>
          <w14:textFill>
            <w14:solidFill>
              <w14:schemeClr w14:val="tx1"/>
            </w14:solidFill>
          </w14:textFill>
        </w:rPr>
        <w:t xml:space="preserve">       </w:t>
      </w:r>
    </w:p>
    <w:p>
      <w:pPr>
        <w:jc w:val="center"/>
        <w:rPr>
          <w:rFonts w:ascii="宋体" w:hAnsi="宋体"/>
          <w:b/>
          <w:color w:val="000000" w:themeColor="text1"/>
          <w:spacing w:val="10"/>
          <w:kern w:val="13"/>
          <w:sz w:val="44"/>
          <w:szCs w:val="44"/>
          <w14:textFill>
            <w14:solidFill>
              <w14:schemeClr w14:val="tx1"/>
            </w14:solidFill>
          </w14:textFill>
        </w:rPr>
      </w:pPr>
      <w:r>
        <w:rPr>
          <w:rFonts w:hint="eastAsia" w:ascii="宋体" w:hAnsi="宋体"/>
          <w:b/>
          <w:color w:val="000000" w:themeColor="text1"/>
          <w:spacing w:val="10"/>
          <w:kern w:val="13"/>
          <w:sz w:val="44"/>
          <w:szCs w:val="44"/>
          <w14:textFill>
            <w14:solidFill>
              <w14:schemeClr w14:val="tx1"/>
            </w14:solidFill>
          </w14:textFill>
        </w:rPr>
        <w:t>华东地区财政教育支出规模差异</w:t>
      </w:r>
    </w:p>
    <w:p>
      <w:pPr>
        <w:jc w:val="center"/>
        <w:rPr>
          <w:rFonts w:ascii="宋体" w:hAnsi="宋体"/>
          <w:b/>
          <w:color w:val="000000" w:themeColor="text1"/>
          <w:spacing w:val="10"/>
          <w:kern w:val="13"/>
          <w:sz w:val="44"/>
          <w:szCs w:val="44"/>
          <w14:textFill>
            <w14:solidFill>
              <w14:schemeClr w14:val="tx1"/>
            </w14:solidFill>
          </w14:textFill>
        </w:rPr>
      </w:pPr>
      <w:r>
        <w:rPr>
          <w:rFonts w:hint="eastAsia" w:ascii="宋体" w:hAnsi="宋体"/>
          <w:b/>
          <w:color w:val="000000" w:themeColor="text1"/>
          <w:spacing w:val="10"/>
          <w:kern w:val="13"/>
          <w:sz w:val="44"/>
          <w:szCs w:val="44"/>
          <w14:textFill>
            <w14:solidFill>
              <w14:schemeClr w14:val="tx1"/>
            </w14:solidFill>
          </w14:textFill>
        </w:rPr>
        <w:t>及影响因素研究</w:t>
      </w:r>
    </w:p>
    <w:p>
      <w:pPr>
        <w:jc w:val="center"/>
        <w:rPr>
          <w:rFonts w:ascii="宋体" w:hAnsi="宋体"/>
          <w:b/>
          <w:color w:val="000000" w:themeColor="text1"/>
          <w:sz w:val="44"/>
          <w:szCs w:val="44"/>
          <w14:textFill>
            <w14:solidFill>
              <w14:schemeClr w14:val="tx1"/>
            </w14:solidFill>
          </w14:textFill>
        </w:rPr>
      </w:pPr>
    </w:p>
    <w:p>
      <w:pPr>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 xml:space="preserve">Study on the Scale Difference of Fiscal Expenditure </w:t>
      </w:r>
    </w:p>
    <w:p>
      <w:pPr>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and Its Influencing Factors in East China</w:t>
      </w:r>
    </w:p>
    <w:p>
      <w:pPr>
        <w:rPr>
          <w:rFonts w:eastAsia="黑体"/>
          <w:b/>
          <w:bCs/>
          <w:color w:val="000000" w:themeColor="text1"/>
          <w:u w:val="single"/>
          <w14:textFill>
            <w14:solidFill>
              <w14:schemeClr w14:val="tx1"/>
            </w14:solidFill>
          </w14:textFill>
        </w:rPr>
      </w:pPr>
      <w:r>
        <w:rPr>
          <w:rFonts w:hint="eastAsia" w:eastAsia="黑体"/>
          <w:color w:val="000000" w:themeColor="text1"/>
          <w14:textFill>
            <w14:solidFill>
              <w14:schemeClr w14:val="tx1"/>
            </w14:solidFill>
          </w14:textFill>
        </w:rPr>
        <w:t xml:space="preserve">   </w:t>
      </w:r>
    </w:p>
    <w:p>
      <w:pPr>
        <w:rPr>
          <w:rFonts w:ascii="宋体" w:hAnsi="宋体"/>
          <w:b/>
          <w:bCs/>
          <w:color w:val="000000" w:themeColor="text1"/>
          <w14:textFill>
            <w14:solidFill>
              <w14:schemeClr w14:val="tx1"/>
            </w14:solidFill>
          </w14:textFill>
        </w:rPr>
      </w:pPr>
    </w:p>
    <w:p>
      <w:pPr>
        <w:rPr>
          <w:rFonts w:ascii="宋体" w:hAnsi="宋体"/>
          <w:b/>
          <w:bCs/>
          <w:color w:val="000000" w:themeColor="text1"/>
          <w14:textFill>
            <w14:solidFill>
              <w14:schemeClr w14:val="tx1"/>
            </w14:solidFill>
          </w14:textFill>
        </w:rPr>
      </w:pPr>
    </w:p>
    <w:p>
      <w:pPr>
        <w:rPr>
          <w:rFonts w:ascii="宋体" w:hAnsi="宋体"/>
          <w:b/>
          <w:bCs/>
          <w:color w:val="000000" w:themeColor="text1"/>
          <w14:textFill>
            <w14:solidFill>
              <w14:schemeClr w14:val="tx1"/>
            </w14:solidFill>
          </w14:textFill>
        </w:rPr>
      </w:pPr>
    </w:p>
    <w:p>
      <w:pPr>
        <w:rPr>
          <w:rFonts w:ascii="宋体" w:hAnsi="宋体"/>
          <w:b/>
          <w:bCs/>
          <w:color w:val="000000" w:themeColor="text1"/>
          <w14:textFill>
            <w14:solidFill>
              <w14:schemeClr w14:val="tx1"/>
            </w14:solidFill>
          </w14:textFill>
        </w:rPr>
      </w:pPr>
    </w:p>
    <w:tbl>
      <w:tblPr>
        <w:tblStyle w:val="13"/>
        <w:tblW w:w="5810" w:type="dxa"/>
        <w:jc w:val="center"/>
        <w:tblInd w:w="0" w:type="dxa"/>
        <w:tblLayout w:type="fixed"/>
        <w:tblCellMar>
          <w:top w:w="0" w:type="dxa"/>
          <w:left w:w="108" w:type="dxa"/>
          <w:bottom w:w="0" w:type="dxa"/>
          <w:right w:w="108" w:type="dxa"/>
        </w:tblCellMar>
      </w:tblPr>
      <w:tblGrid>
        <w:gridCol w:w="1490"/>
        <w:gridCol w:w="4320"/>
      </w:tblGrid>
      <w:tr>
        <w:tblPrEx>
          <w:tblLayout w:type="fixed"/>
          <w:tblCellMar>
            <w:top w:w="0" w:type="dxa"/>
            <w:left w:w="108" w:type="dxa"/>
            <w:bottom w:w="0" w:type="dxa"/>
            <w:right w:w="108" w:type="dxa"/>
          </w:tblCellMar>
        </w:tblPrEx>
        <w:trPr>
          <w:jc w:val="center"/>
        </w:trPr>
        <w:tc>
          <w:tcPr>
            <w:tcW w:w="1490" w:type="dxa"/>
          </w:tcPr>
          <w:p>
            <w:pPr>
              <w:spacing w:line="360" w:lineRule="auto"/>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二级学院</w:t>
            </w:r>
            <w:r>
              <w:rPr>
                <w:rFonts w:hint="eastAsia" w:ascii="宋体" w:hAnsi="宋体"/>
                <w:b/>
                <w:bCs/>
                <w:color w:val="000000" w:themeColor="text1"/>
                <w:sz w:val="24"/>
                <w14:textFill>
                  <w14:solidFill>
                    <w14:schemeClr w14:val="tx1"/>
                  </w14:solidFill>
                </w14:textFill>
              </w:rPr>
              <w:t>:</w:t>
            </w:r>
          </w:p>
        </w:tc>
        <w:tc>
          <w:tcPr>
            <w:tcW w:w="4320" w:type="dxa"/>
          </w:tcPr>
          <w:p>
            <w:pPr>
              <w:spacing w:line="36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经济学院</w:t>
            </w:r>
          </w:p>
        </w:tc>
      </w:tr>
      <w:tr>
        <w:tblPrEx>
          <w:tblLayout w:type="fixed"/>
          <w:tblCellMar>
            <w:top w:w="0" w:type="dxa"/>
            <w:left w:w="108" w:type="dxa"/>
            <w:bottom w:w="0" w:type="dxa"/>
            <w:right w:w="108" w:type="dxa"/>
          </w:tblCellMar>
        </w:tblPrEx>
        <w:trPr>
          <w:jc w:val="center"/>
        </w:trPr>
        <w:tc>
          <w:tcPr>
            <w:tcW w:w="1490" w:type="dxa"/>
          </w:tcPr>
          <w:p>
            <w:pPr>
              <w:spacing w:line="360" w:lineRule="auto"/>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教 学 系</w:t>
            </w:r>
            <w:r>
              <w:rPr>
                <w:rFonts w:hint="eastAsia" w:ascii="宋体" w:hAnsi="宋体"/>
                <w:b/>
                <w:bCs/>
                <w:color w:val="000000" w:themeColor="text1"/>
                <w:sz w:val="24"/>
                <w14:textFill>
                  <w14:solidFill>
                    <w14:schemeClr w14:val="tx1"/>
                  </w14:solidFill>
                </w14:textFill>
              </w:rPr>
              <w:t>：</w:t>
            </w:r>
          </w:p>
        </w:tc>
        <w:tc>
          <w:tcPr>
            <w:tcW w:w="4320" w:type="dxa"/>
          </w:tcPr>
          <w:p>
            <w:pPr>
              <w:spacing w:line="36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财政系</w:t>
            </w:r>
          </w:p>
        </w:tc>
      </w:tr>
      <w:tr>
        <w:tblPrEx>
          <w:tblLayout w:type="fixed"/>
          <w:tblCellMar>
            <w:top w:w="0" w:type="dxa"/>
            <w:left w:w="108" w:type="dxa"/>
            <w:bottom w:w="0" w:type="dxa"/>
            <w:right w:w="108" w:type="dxa"/>
          </w:tblCellMar>
        </w:tblPrEx>
        <w:trPr>
          <w:jc w:val="center"/>
        </w:trPr>
        <w:tc>
          <w:tcPr>
            <w:tcW w:w="1490" w:type="dxa"/>
          </w:tcPr>
          <w:p>
            <w:pPr>
              <w:spacing w:line="360" w:lineRule="auto"/>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专业班级</w:t>
            </w:r>
            <w:r>
              <w:rPr>
                <w:rFonts w:hint="eastAsia" w:ascii="宋体" w:hAnsi="宋体"/>
                <w:b/>
                <w:bCs/>
                <w:color w:val="000000" w:themeColor="text1"/>
                <w:sz w:val="24"/>
                <w14:textFill>
                  <w14:solidFill>
                    <w14:schemeClr w14:val="tx1"/>
                  </w14:solidFill>
                </w14:textFill>
              </w:rPr>
              <w:t>:</w:t>
            </w:r>
          </w:p>
        </w:tc>
        <w:tc>
          <w:tcPr>
            <w:tcW w:w="4320" w:type="dxa"/>
          </w:tcPr>
          <w:p>
            <w:pPr>
              <w:spacing w:line="36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财政学1401班</w:t>
            </w:r>
          </w:p>
        </w:tc>
      </w:tr>
      <w:tr>
        <w:tblPrEx>
          <w:tblLayout w:type="fixed"/>
          <w:tblCellMar>
            <w:top w:w="0" w:type="dxa"/>
            <w:left w:w="108" w:type="dxa"/>
            <w:bottom w:w="0" w:type="dxa"/>
            <w:right w:w="108" w:type="dxa"/>
          </w:tblCellMar>
        </w:tblPrEx>
        <w:trPr>
          <w:jc w:val="center"/>
        </w:trPr>
        <w:tc>
          <w:tcPr>
            <w:tcW w:w="1490" w:type="dxa"/>
          </w:tcPr>
          <w:p>
            <w:pPr>
              <w:spacing w:line="360" w:lineRule="auto"/>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学生姓名</w:t>
            </w:r>
            <w:r>
              <w:rPr>
                <w:rFonts w:hint="eastAsia" w:ascii="宋体" w:hAnsi="宋体"/>
                <w:b/>
                <w:bCs/>
                <w:color w:val="000000" w:themeColor="text1"/>
                <w:sz w:val="24"/>
                <w14:textFill>
                  <w14:solidFill>
                    <w14:schemeClr w14:val="tx1"/>
                  </w14:solidFill>
                </w14:textFill>
              </w:rPr>
              <w:t>:</w:t>
            </w:r>
          </w:p>
        </w:tc>
        <w:tc>
          <w:tcPr>
            <w:tcW w:w="4320" w:type="dxa"/>
          </w:tcPr>
          <w:p>
            <w:pPr>
              <w:spacing w:line="36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疏娇娇</w:t>
            </w:r>
          </w:p>
        </w:tc>
      </w:tr>
      <w:tr>
        <w:tblPrEx>
          <w:tblLayout w:type="fixed"/>
          <w:tblCellMar>
            <w:top w:w="0" w:type="dxa"/>
            <w:left w:w="108" w:type="dxa"/>
            <w:bottom w:w="0" w:type="dxa"/>
            <w:right w:w="108" w:type="dxa"/>
          </w:tblCellMar>
        </w:tblPrEx>
        <w:trPr>
          <w:jc w:val="center"/>
        </w:trPr>
        <w:tc>
          <w:tcPr>
            <w:tcW w:w="1490" w:type="dxa"/>
          </w:tcPr>
          <w:p>
            <w:pPr>
              <w:spacing w:line="360" w:lineRule="auto"/>
              <w:rPr>
                <w:rFonts w:ascii="宋体" w:hAnsi="宋体"/>
                <w:b/>
                <w:bCs/>
                <w:color w:val="000000" w:themeColor="text1"/>
                <w:sz w:val="32"/>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指导教师</w:t>
            </w:r>
            <w:r>
              <w:rPr>
                <w:rFonts w:hint="eastAsia" w:ascii="宋体" w:hAnsi="宋体"/>
                <w:b/>
                <w:bCs/>
                <w:color w:val="000000" w:themeColor="text1"/>
                <w:sz w:val="24"/>
                <w14:textFill>
                  <w14:solidFill>
                    <w14:schemeClr w14:val="tx1"/>
                  </w14:solidFill>
                </w14:textFill>
              </w:rPr>
              <w:t>:</w:t>
            </w:r>
          </w:p>
        </w:tc>
        <w:tc>
          <w:tcPr>
            <w:tcW w:w="4320" w:type="dxa"/>
          </w:tcPr>
          <w:p>
            <w:pPr>
              <w:spacing w:line="36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梁学平  教授</w:t>
            </w:r>
          </w:p>
        </w:tc>
      </w:tr>
    </w:tbl>
    <w:p>
      <w:pPr>
        <w:rPr>
          <w:rFonts w:ascii="楷体_GB2312" w:eastAsia="楷体_GB2312"/>
          <w:b/>
          <w:bCs/>
          <w:color w:val="000000" w:themeColor="text1"/>
          <w:szCs w:val="21"/>
          <w14:textFill>
            <w14:solidFill>
              <w14:schemeClr w14:val="tx1"/>
            </w14:solidFill>
          </w14:textFill>
        </w:rPr>
      </w:pPr>
    </w:p>
    <w:p>
      <w:pPr>
        <w:rPr>
          <w:rFonts w:ascii="楷体_GB2312" w:eastAsia="楷体_GB2312"/>
          <w:b/>
          <w:bCs/>
          <w:color w:val="000000" w:themeColor="text1"/>
          <w:szCs w:val="21"/>
          <w14:textFill>
            <w14:solidFill>
              <w14:schemeClr w14:val="tx1"/>
            </w14:solidFill>
          </w14:textFill>
        </w:rPr>
      </w:pPr>
    </w:p>
    <w:p>
      <w:pPr>
        <w:rPr>
          <w:rFonts w:ascii="楷体_GB2312" w:eastAsia="楷体_GB2312"/>
          <w:b/>
          <w:bCs/>
          <w:color w:val="000000" w:themeColor="text1"/>
          <w:szCs w:val="21"/>
          <w14:textFill>
            <w14:solidFill>
              <w14:schemeClr w14:val="tx1"/>
            </w14:solidFill>
          </w14:textFill>
        </w:rPr>
      </w:pPr>
    </w:p>
    <w:p>
      <w:pPr>
        <w:jc w:val="center"/>
        <w:rPr>
          <w:rFonts w:hAnsi="宋体"/>
          <w:b/>
          <w:bCs/>
          <w:color w:val="000000" w:themeColor="text1"/>
          <w:sz w:val="28"/>
          <w14:textFill>
            <w14:solidFill>
              <w14:schemeClr w14:val="tx1"/>
            </w14:solidFill>
          </w14:textFill>
        </w:rPr>
      </w:pPr>
      <w:r>
        <w:rPr>
          <w:b/>
          <w:bCs/>
          <w:color w:val="000000" w:themeColor="text1"/>
          <w:sz w:val="28"/>
          <w14:textFill>
            <w14:solidFill>
              <w14:schemeClr w14:val="tx1"/>
            </w14:solidFill>
          </w14:textFill>
        </w:rPr>
        <w:t>20</w:t>
      </w:r>
      <w:r>
        <w:rPr>
          <w:rFonts w:hint="eastAsia"/>
          <w:b/>
          <w:bCs/>
          <w:color w:val="000000" w:themeColor="text1"/>
          <w:sz w:val="28"/>
          <w14:textFill>
            <w14:solidFill>
              <w14:schemeClr w14:val="tx1"/>
            </w14:solidFill>
          </w14:textFill>
        </w:rPr>
        <w:t>18</w:t>
      </w:r>
      <w:r>
        <w:rPr>
          <w:rFonts w:hAnsi="宋体"/>
          <w:b/>
          <w:bCs/>
          <w:color w:val="000000" w:themeColor="text1"/>
          <w:sz w:val="28"/>
          <w14:textFill>
            <w14:solidFill>
              <w14:schemeClr w14:val="tx1"/>
            </w14:solidFill>
          </w14:textFill>
        </w:rPr>
        <w:t>年</w:t>
      </w:r>
      <w:r>
        <w:rPr>
          <w:rFonts w:hint="eastAsia"/>
          <w:b/>
          <w:bCs/>
          <w:color w:val="000000" w:themeColor="text1"/>
          <w:sz w:val="28"/>
          <w14:textFill>
            <w14:solidFill>
              <w14:schemeClr w14:val="tx1"/>
            </w14:solidFill>
          </w14:textFill>
        </w:rPr>
        <w:t>6</w:t>
      </w:r>
      <w:r>
        <w:rPr>
          <w:rFonts w:hAnsi="宋体"/>
          <w:b/>
          <w:bCs/>
          <w:color w:val="000000" w:themeColor="text1"/>
          <w:sz w:val="28"/>
          <w14:textFill>
            <w14:solidFill>
              <w14:schemeClr w14:val="tx1"/>
            </w14:solidFill>
          </w14:textFill>
        </w:rPr>
        <w:t>月</w:t>
      </w:r>
      <w:r>
        <w:rPr>
          <w:rFonts w:hint="eastAsia"/>
          <w:b/>
          <w:bCs/>
          <w:color w:val="000000" w:themeColor="text1"/>
          <w:sz w:val="28"/>
          <w14:textFill>
            <w14:solidFill>
              <w14:schemeClr w14:val="tx1"/>
            </w14:solidFill>
          </w14:textFill>
        </w:rPr>
        <w:t>8</w:t>
      </w:r>
      <w:r>
        <w:rPr>
          <w:b/>
          <w:bCs/>
          <w:color w:val="000000" w:themeColor="text1"/>
          <w:sz w:val="28"/>
          <w14:textFill>
            <w14:solidFill>
              <w14:schemeClr w14:val="tx1"/>
            </w14:solidFill>
          </w14:textFill>
        </w:rPr>
        <w:t xml:space="preserve"> </w:t>
      </w:r>
      <w:r>
        <w:rPr>
          <w:rFonts w:hAnsi="宋体"/>
          <w:b/>
          <w:bCs/>
          <w:color w:val="000000" w:themeColor="text1"/>
          <w:sz w:val="28"/>
          <w14:textFill>
            <w14:solidFill>
              <w14:schemeClr w14:val="tx1"/>
            </w14:solidFill>
          </w14:textFill>
        </w:rPr>
        <w:t>日</w:t>
      </w:r>
    </w:p>
    <w:p>
      <w:pPr>
        <w:tabs>
          <w:tab w:val="left" w:pos="3589"/>
        </w:tabs>
        <w:jc w:val="left"/>
        <w:rPr>
          <w:rFonts w:hAnsi="宋体"/>
          <w:b/>
          <w:bCs/>
          <w:color w:val="000000" w:themeColor="text1"/>
          <w:sz w:val="28"/>
          <w14:textFill>
            <w14:solidFill>
              <w14:schemeClr w14:val="tx1"/>
            </w14:solidFill>
          </w14:textFill>
        </w:rPr>
        <w:sectPr>
          <w:footerReference r:id="rId4" w:type="default"/>
          <w:pgSz w:w="11906" w:h="16838"/>
          <w:pgMar w:top="1588" w:right="1588" w:bottom="1588" w:left="1588" w:header="851" w:footer="992" w:gutter="0"/>
          <w:cols w:space="425" w:num="1"/>
          <w:docGrid w:type="lines" w:linePitch="379" w:charSpace="0"/>
        </w:sectPr>
      </w:pPr>
      <w:r>
        <w:rPr>
          <w:rFonts w:hAnsi="宋体"/>
          <w:b/>
          <w:bCs/>
          <w:color w:val="000000" w:themeColor="text1"/>
          <w:sz w:val="28"/>
          <w14:textFill>
            <w14:solidFill>
              <w14:schemeClr w14:val="tx1"/>
            </w14:solidFill>
          </w14:textFill>
        </w:rPr>
        <w:tab/>
      </w:r>
    </w:p>
    <w:p>
      <w:pPr>
        <w:spacing w:before="387" w:beforeLines="100" w:after="387" w:afterLines="100"/>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目 录</w:t>
      </w:r>
    </w:p>
    <w:tbl>
      <w:tblPr>
        <w:tblStyle w:val="13"/>
        <w:tblW w:w="9406" w:type="dxa"/>
        <w:jc w:val="center"/>
        <w:tblInd w:w="0" w:type="dxa"/>
        <w:tblLayout w:type="fixed"/>
        <w:tblCellMar>
          <w:top w:w="0" w:type="dxa"/>
          <w:left w:w="108" w:type="dxa"/>
          <w:bottom w:w="0" w:type="dxa"/>
          <w:right w:w="108" w:type="dxa"/>
        </w:tblCellMar>
      </w:tblPr>
      <w:tblGrid>
        <w:gridCol w:w="8950"/>
        <w:gridCol w:w="456"/>
      </w:tblGrid>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内容摘要</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I</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rFonts w:eastAsia="黑体"/>
                <w:bCs/>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Abstract</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II</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 xml:space="preserve">1  </w:t>
            </w:r>
            <w:r>
              <w:rPr>
                <w:rFonts w:eastAsia="黑体"/>
                <w:color w:val="000000" w:themeColor="text1"/>
                <w:sz w:val="24"/>
                <w14:textFill>
                  <w14:solidFill>
                    <w14:schemeClr w14:val="tx1"/>
                  </w14:solidFill>
                </w14:textFill>
              </w:rPr>
              <w:t>导</w:t>
            </w:r>
            <w:r>
              <w:rPr>
                <w:rFonts w:hint="eastAsia" w:eastAsia="黑体"/>
                <w:color w:val="000000" w:themeColor="text1"/>
                <w:sz w:val="24"/>
                <w14:textFill>
                  <w14:solidFill>
                    <w14:schemeClr w14:val="tx1"/>
                  </w14:solidFill>
                </w14:textFill>
              </w:rPr>
              <w:t>言</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1.1</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研究背景</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 xml:space="preserve"> 研究意义</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3 国内外研究现状</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4 研究方法</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5 主要创新点</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2  华东地区财政教育支出规模及其差异</w:t>
            </w:r>
            <w:r>
              <w:rPr>
                <w:rFonts w:hint="eastAsia" w:eastAsia="黑体"/>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2.1 </w:t>
            </w:r>
            <w:r>
              <w:rPr>
                <w:rFonts w:ascii="宋体" w:hAnsi="宋体"/>
                <w:bCs/>
                <w:color w:val="000000" w:themeColor="text1"/>
                <w:sz w:val="24"/>
                <w14:textFill>
                  <w14:solidFill>
                    <w14:schemeClr w14:val="tx1"/>
                  </w14:solidFill>
                </w14:textFill>
              </w:rPr>
              <w:t>华东地区财政教育支出规模</w:t>
            </w:r>
            <w:r>
              <w:rPr>
                <w:rFonts w:hint="eastAsia" w:ascii="宋体" w:hAnsi="宋体"/>
                <w:bCs/>
                <w:color w:val="000000" w:themeColor="text1"/>
                <w:sz w:val="24"/>
                <w14:textFill>
                  <w14:solidFill>
                    <w14:schemeClr w14:val="tx1"/>
                  </w14:solidFill>
                </w14:textFill>
              </w:rPr>
              <w:t>的现状</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2.2 </w:t>
            </w:r>
            <w:r>
              <w:rPr>
                <w:rFonts w:ascii="宋体" w:hAnsi="宋体"/>
                <w:bCs/>
                <w:color w:val="000000" w:themeColor="text1"/>
                <w:sz w:val="24"/>
                <w14:textFill>
                  <w14:solidFill>
                    <w14:schemeClr w14:val="tx1"/>
                  </w14:solidFill>
                </w14:textFill>
              </w:rPr>
              <w:t>华东地区财政教育支出规模的差异</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14</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3  </w:t>
            </w:r>
            <w:r>
              <w:rPr>
                <w:rFonts w:eastAsia="黑体"/>
                <w:bCs/>
                <w:color w:val="000000" w:themeColor="text1"/>
                <w:sz w:val="24"/>
                <w14:textFill>
                  <w14:solidFill>
                    <w14:schemeClr w14:val="tx1"/>
                  </w14:solidFill>
                </w14:textFill>
              </w:rPr>
              <w:t>华东地区财政教育支出规模差异影响因素</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3.1 财政分权程度</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3.2 政府竞争程度</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21</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3.3 政府财政自给度</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22</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3.4 经济发展水平</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23</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3.5 受教育人口数</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24</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4  </w:t>
            </w:r>
            <w:r>
              <w:rPr>
                <w:rFonts w:eastAsia="黑体"/>
                <w:bCs/>
                <w:color w:val="000000" w:themeColor="text1"/>
                <w:sz w:val="24"/>
                <w14:textFill>
                  <w14:solidFill>
                    <w14:schemeClr w14:val="tx1"/>
                  </w14:solidFill>
                </w14:textFill>
              </w:rPr>
              <w:t>华东地区财政教育支出规模差异影响因素实证分析</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24</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4.1 </w:t>
            </w:r>
            <w:r>
              <w:rPr>
                <w:rFonts w:ascii="宋体" w:hAnsi="宋体"/>
                <w:bCs/>
                <w:color w:val="000000" w:themeColor="text1"/>
                <w:sz w:val="24"/>
                <w14:textFill>
                  <w14:solidFill>
                    <w14:schemeClr w14:val="tx1"/>
                  </w14:solidFill>
                </w14:textFill>
              </w:rPr>
              <w:t>模型构建</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24</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4.2 </w:t>
            </w:r>
            <w:r>
              <w:rPr>
                <w:rFonts w:ascii="宋体" w:hAnsi="宋体"/>
                <w:bCs/>
                <w:color w:val="000000" w:themeColor="text1"/>
                <w:sz w:val="24"/>
                <w14:textFill>
                  <w14:solidFill>
                    <w14:schemeClr w14:val="tx1"/>
                  </w14:solidFill>
                </w14:textFill>
              </w:rPr>
              <w:t>数据来源</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24</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4.3 </w:t>
            </w:r>
            <w:r>
              <w:rPr>
                <w:rFonts w:ascii="宋体" w:hAnsi="宋体"/>
                <w:bCs/>
                <w:color w:val="000000" w:themeColor="text1"/>
                <w:sz w:val="24"/>
                <w14:textFill>
                  <w14:solidFill>
                    <w14:schemeClr w14:val="tx1"/>
                  </w14:solidFill>
                </w14:textFill>
              </w:rPr>
              <w:t>实证过程</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25</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4.4 研究结论</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25</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5  </w:t>
            </w:r>
            <w:r>
              <w:rPr>
                <w:rFonts w:hint="eastAsia" w:eastAsia="黑体"/>
                <w:bCs/>
                <w:color w:val="000000" w:themeColor="text1"/>
                <w:sz w:val="24"/>
                <w14:textFill>
                  <w14:solidFill>
                    <w14:schemeClr w14:val="tx1"/>
                  </w14:solidFill>
                </w14:textFill>
              </w:rPr>
              <w:t>缩小华东地区财政教育支出规模差异的对策建议．．．．．．．．．．．．．．．．．．．．．．．．．．．</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26</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 促进政府间的良性竞争．．．．．．．．．．．．．．．．．．．．．．．．．．．．．．．．．．．．．．．．．．．．．．．．．</w:t>
            </w:r>
          </w:p>
        </w:tc>
        <w:tc>
          <w:tcPr>
            <w:tcW w:w="45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26</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 提高财政自给度．．．．．．．．．．．．．．．．．．．．．．．．．．．．．．．．．．．．．．．．．．．．．．．．．．．．．．．</w:t>
            </w:r>
          </w:p>
        </w:tc>
        <w:tc>
          <w:tcPr>
            <w:tcW w:w="45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27</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3 增加财政教育支出总量．．．．．．．．．．．．．．．．．．．．．．．．．．．．．．．．．．．．．．．．．．．．．．</w:t>
            </w:r>
            <w:r>
              <w:rPr>
                <w:rFonts w:hint="eastAsia" w:eastAsia="黑体"/>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28</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4 优化财政教育支出结构．．．．．．．．．．．．．．．．．．．．．．．．．．．．．．．．．．．．．．．．．．．．．．．．．</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29</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参考文献</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30</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附录：开题报告(数据报告)</w:t>
            </w:r>
            <w:r>
              <w:rPr>
                <w:rFonts w:hint="eastAsia" w:eastAsia="黑体"/>
                <w:bCs/>
                <w:color w:val="000000" w:themeColor="text1"/>
                <w:sz w:val="24"/>
                <w14:textFill>
                  <w14:solidFill>
                    <w14:schemeClr w14:val="tx1"/>
                  </w14:solidFill>
                </w14:textFill>
              </w:rPr>
              <w:t xml:space="preserve"> ．．．．．．．．．．．．．．．．．．．．．．．．．．．．．．．．．．．．．．．．．．．．．．．</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32</w:t>
            </w:r>
          </w:p>
        </w:tc>
      </w:tr>
      <w:tr>
        <w:tblPrEx>
          <w:tblLayout w:type="fixed"/>
          <w:tblCellMar>
            <w:top w:w="0" w:type="dxa"/>
            <w:left w:w="108" w:type="dxa"/>
            <w:bottom w:w="0" w:type="dxa"/>
            <w:right w:w="108" w:type="dxa"/>
          </w:tblCellMar>
        </w:tblPrEx>
        <w:trPr>
          <w:trHeight w:val="454" w:hRule="atLeast"/>
          <w:jc w:val="center"/>
        </w:trPr>
        <w:tc>
          <w:tcPr>
            <w:tcW w:w="8950" w:type="dxa"/>
            <w:vAlign w:val="center"/>
          </w:tcPr>
          <w:p>
            <w:pPr>
              <w:spacing w:line="360" w:lineRule="auto"/>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致谢</w:t>
            </w:r>
            <w:r>
              <w:rPr>
                <w:rFonts w:hint="eastAsia" w:eastAsia="黑体"/>
                <w:bCs/>
                <w:color w:val="000000" w:themeColor="text1"/>
                <w:sz w:val="24"/>
                <w14:textFill>
                  <w14:solidFill>
                    <w14:schemeClr w14:val="tx1"/>
                  </w14:solidFill>
                </w14:textFill>
              </w:rPr>
              <w:t>．．．．．．．．．．．．．．．．．．．．．．．．．．．．．．．．．．．．．．．．．．．．．．．．．．．．．．．．．．．．．．．．．．．．</w:t>
            </w:r>
          </w:p>
        </w:tc>
        <w:tc>
          <w:tcPr>
            <w:tcW w:w="456" w:type="dxa"/>
            <w:vAlign w:val="center"/>
          </w:tcPr>
          <w:p>
            <w:pPr>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39</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outlineLvl w:val="0"/>
        <w:rPr>
          <w:rFonts w:hint="eastAsia" w:ascii="黑体" w:eastAsia="黑体"/>
          <w:bCs/>
          <w:color w:val="000000" w:themeColor="text1"/>
          <w:sz w:val="24"/>
          <w14:textFill>
            <w14:solidFill>
              <w14:schemeClr w14:val="tx1"/>
            </w14:solidFill>
          </w14:textFill>
        </w:rPr>
      </w:pPr>
    </w:p>
    <w:p>
      <w:pPr>
        <w:spacing w:line="360" w:lineRule="auto"/>
        <w:outlineLvl w:val="0"/>
        <w:rPr>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内容摘要：</w:t>
      </w:r>
      <w:r>
        <w:rPr>
          <w:rFonts w:hint="eastAsia"/>
          <w:bCs/>
          <w:color w:val="000000" w:themeColor="text1"/>
          <w:sz w:val="24"/>
          <w14:textFill>
            <w14:solidFill>
              <w14:schemeClr w14:val="tx1"/>
            </w14:solidFill>
          </w14:textFill>
        </w:rPr>
        <w:t>随着经济发展水平的不断提高，华东地区财政教育支出的规模不断增加，由2002年的795.40亿元增加到2016年的8358.79亿元。尽管如此，华东各地区间的财政教育支出规模仍存在很大差异，这不利于华东地区教育事业的发展。因此，本文对华东地区财政教育支出差异及影响因素的研究，具有重要的理论意义与现实意义。首先，对华东地区财政教育支出规模及其差异进行分析，华东地区财政教育支出逐年增加，增长速度波动较大，占GDP和财政支出的比重都在不断上升；各地区之间也存在较大差异。其次，对影响华东地区财政教育支出规模差异的因素进行分析，主要表现为：财政分权程度、政府竞争度、财政自给度、经济发展水平、受教育人口数。再次，构建回归模型进行实证分析，结果表明：财政分权程度、政府竞争度对财政教育支出有负向影响，经济发展水平、政府财政自给度、受教育人口数有正向影响。最后，针对缩小华东地区财政教育支出差异提供建议：促进政府间良性竞争，提高财政自给度，增加财政教育支出总量，优化支出结构等。</w:t>
      </w:r>
    </w:p>
    <w:p>
      <w:pPr>
        <w:spacing w:line="360" w:lineRule="auto"/>
        <w:rPr>
          <w:bCs/>
          <w:color w:val="000000" w:themeColor="text1"/>
          <w:sz w:val="24"/>
          <w14:textFill>
            <w14:solidFill>
              <w14:schemeClr w14:val="tx1"/>
            </w14:solidFill>
          </w14:textFill>
        </w:rPr>
      </w:pPr>
    </w:p>
    <w:p>
      <w:pPr>
        <w:spacing w:line="360" w:lineRule="auto"/>
        <w:rPr>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关键词</w:t>
      </w:r>
      <w:r>
        <w:rPr>
          <w:rFonts w:hint="eastAsia"/>
          <w:bCs/>
          <w:color w:val="000000" w:themeColor="text1"/>
          <w:sz w:val="24"/>
          <w14:textFill>
            <w14:solidFill>
              <w14:schemeClr w14:val="tx1"/>
            </w14:solidFill>
          </w14:textFill>
        </w:rPr>
        <w:t>：教育投入；地区差异；影响因素；变异系数</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eastAsia="黑体" w:cs="Times New Roman"/>
          <w:b/>
          <w:color w:val="000000" w:themeColor="text1"/>
          <w:sz w:val="24"/>
          <w14:textFill>
            <w14:solidFill>
              <w14:schemeClr w14:val="tx1"/>
            </w14:solidFill>
          </w14:textFill>
        </w:rPr>
      </w:pPr>
    </w:p>
    <w:p>
      <w:pPr>
        <w:spacing w:line="360" w:lineRule="auto"/>
        <w:outlineLvl w:val="0"/>
        <w:rPr>
          <w:rFonts w:ascii="Times New Roman" w:hAnsi="Times New Roman" w:cs="Times New Roman"/>
        </w:rPr>
      </w:pPr>
      <w:r>
        <w:rPr>
          <w:rFonts w:ascii="Times New Roman" w:hAnsi="Times New Roman" w:eastAsia="黑体" w:cs="Times New Roman"/>
          <w:b/>
          <w:color w:val="000000" w:themeColor="text1"/>
          <w:sz w:val="24"/>
          <w14:textFill>
            <w14:solidFill>
              <w14:schemeClr w14:val="tx1"/>
            </w14:solidFill>
          </w14:textFill>
        </w:rPr>
        <w:t>Abstract</w:t>
      </w:r>
      <w:r>
        <w:rPr>
          <w:rFonts w:ascii="Times New Roman" w:hAnsi="Times New Roman" w:cs="Times New Roman"/>
          <w:b/>
          <w:bCs/>
          <w:color w:val="000000" w:themeColor="text1"/>
          <w:sz w:val="24"/>
          <w14:textFill>
            <w14:solidFill>
              <w14:schemeClr w14:val="tx1"/>
            </w14:solidFill>
          </w14:textFill>
        </w:rPr>
        <w:t>:</w:t>
      </w:r>
      <w:r>
        <w:rPr>
          <w:rFonts w:ascii="Times New Roman" w:hAnsi="Times New Roman" w:cs="Times New Roman"/>
        </w:rPr>
        <w:t xml:space="preserve"> </w:t>
      </w:r>
      <w:r>
        <w:rPr>
          <w:rFonts w:ascii="Times New Roman" w:hAnsi="Times New Roman" w:cs="Times New Roman"/>
          <w:bCs/>
          <w:color w:val="000000" w:themeColor="text1"/>
          <w:sz w:val="24"/>
          <w14:textFill>
            <w14:solidFill>
              <w14:schemeClr w14:val="tx1"/>
            </w14:solidFill>
          </w14:textFill>
        </w:rPr>
        <w:t>With the continuous improvement of economic development level, fiscal expenditure of education in east China has been increasing, from 7954 billion yuan in 2002 to 835.879 billion yuan in 2016. However, there are still large differences in the amount of fiscal education expenditure in different regions of eastern China, which is not conducive to the development of the cause of education in eastern China. Therefore, this paper has important theoretical and practical significance in studying the differences and influencing factors of fiscal education expenditure in eastern China. First of all, in east China area scale of fiscal expenditure on education and its differences were analyzed, and the east China area fiscal education expenditure increased year by year, growth speed fluctuation is bigger, GDP and the proportion of fiscal expenditure is rising; There are also large regional differences. Second, the influence factors of east China area scale of fiscal expenditure on education difference analysis, main show is: the degree of fiscal decentralization, government competition, self-financing, economic development level, the education population. Again, build the regression model to carry on the empirical analysis, the results show that the degree of fiscal decentralization and government competition degree has a negative effect on fiscal expenditure on education, economic development level, degree of government financial self-sufficiency, with education population have positive influence. Finally, aiming at narrowing the difference of fiscal expenditure on education in east China, provides the corresponding countermeasures and Suggestions: to promote the benign competition between government, improve the degree of financial self-sufficiency, increase the fiscal expenditure on education, optimize expenditure structure, etc.</w:t>
      </w:r>
    </w:p>
    <w:p>
      <w:pPr>
        <w:spacing w:line="360" w:lineRule="auto"/>
        <w:rPr>
          <w:rFonts w:ascii="Times New Roman" w:hAnsi="Times New Roman" w:cs="Times New Roman"/>
          <w:bCs/>
          <w:color w:val="000000" w:themeColor="text1"/>
          <w:sz w:val="24"/>
          <w14:textFill>
            <w14:solidFill>
              <w14:schemeClr w14:val="tx1"/>
            </w14:solidFill>
          </w14:textFill>
        </w:rPr>
      </w:pPr>
      <w:r>
        <w:rPr>
          <w:rFonts w:ascii="Times New Roman" w:hAnsi="Times New Roman" w:eastAsia="黑体" w:cs="Times New Roman"/>
          <w:b/>
          <w:bCs/>
          <w:sz w:val="24"/>
        </w:rPr>
        <w:t>Key Words：</w:t>
      </w:r>
      <w:r>
        <w:rPr>
          <w:rFonts w:ascii="Times New Roman" w:hAnsi="Times New Roman" w:cs="Times New Roman"/>
          <w:bCs/>
          <w:color w:val="000000" w:themeColor="text1"/>
          <w:sz w:val="24"/>
          <w14:textFill>
            <w14:solidFill>
              <w14:schemeClr w14:val="tx1"/>
            </w14:solidFill>
          </w14:textFill>
        </w:rPr>
        <w:t>Education input    Regional differences    Influencing factors     Coefficient of variation</w:t>
      </w:r>
    </w:p>
    <w:p>
      <w:pPr>
        <w:spacing w:line="360" w:lineRule="auto"/>
        <w:rPr>
          <w:rFonts w:ascii="Times New Roman" w:hAnsi="Times New Roman" w:cs="Times New Roman"/>
          <w:bCs/>
          <w:color w:val="000000" w:themeColor="text1"/>
          <w:sz w:val="24"/>
          <w14:textFill>
            <w14:solidFill>
              <w14:schemeClr w14:val="tx1"/>
            </w14:solidFill>
          </w14:textFill>
        </w:rPr>
      </w:pPr>
    </w:p>
    <w:p>
      <w:pPr>
        <w:spacing w:line="360" w:lineRule="auto"/>
        <w:rPr>
          <w:rFonts w:ascii="Times New Roman" w:hAnsi="Times New Roman" w:cs="Times New Roman"/>
          <w:bCs/>
          <w:color w:val="000000" w:themeColor="text1"/>
          <w:sz w:val="24"/>
          <w14:textFill>
            <w14:solidFill>
              <w14:schemeClr w14:val="tx1"/>
            </w14:solidFill>
          </w14:textFill>
        </w:rPr>
      </w:pPr>
    </w:p>
    <w:p>
      <w:pPr>
        <w:spacing w:line="360" w:lineRule="auto"/>
        <w:rPr>
          <w:rFonts w:ascii="Times New Roman" w:hAnsi="Times New Roman" w:cs="Times New Roman"/>
          <w:bCs/>
          <w:color w:val="000000" w:themeColor="text1"/>
          <w:sz w:val="24"/>
          <w14:textFill>
            <w14:solidFill>
              <w14:schemeClr w14:val="tx1"/>
            </w14:solidFill>
          </w14:textFill>
        </w:rPr>
      </w:pPr>
    </w:p>
    <w:p>
      <w:pPr>
        <w:spacing w:line="360" w:lineRule="auto"/>
        <w:rPr>
          <w:rFonts w:ascii="Times New Roman" w:hAnsi="Times New Roman" w:cs="Times New Roman"/>
          <w:bCs/>
          <w:color w:val="000000" w:themeColor="text1"/>
          <w:sz w:val="24"/>
          <w14:textFill>
            <w14:solidFill>
              <w14:schemeClr w14:val="tx1"/>
            </w14:solidFill>
          </w14:textFill>
        </w:rPr>
      </w:pPr>
    </w:p>
    <w:p>
      <w:pPr>
        <w:spacing w:line="360" w:lineRule="auto"/>
        <w:rPr>
          <w:rFonts w:ascii="Times New Roman" w:hAnsi="Times New Roman" w:cs="Times New Roman"/>
          <w:bCs/>
          <w:color w:val="000000" w:themeColor="text1"/>
          <w:sz w:val="24"/>
          <w14:textFill>
            <w14:solidFill>
              <w14:schemeClr w14:val="tx1"/>
            </w14:solidFill>
          </w14:textFill>
        </w:rPr>
      </w:pPr>
    </w:p>
    <w:p>
      <w:pPr>
        <w:spacing w:line="360" w:lineRule="auto"/>
        <w:rPr>
          <w:rFonts w:ascii="Times New Roman" w:hAnsi="Times New Roman" w:cs="Times New Roman"/>
          <w:bCs/>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379" w:beforeLines="100" w:after="379" w:afterLines="100" w:line="360" w:lineRule="auto"/>
        <w:outlineLvl w:val="0"/>
        <w:rPr>
          <w:rFonts w:ascii="黑体" w:hAnsi="黑体" w:eastAsia="黑体"/>
          <w:bCs/>
          <w:color w:val="000000" w:themeColor="text1"/>
          <w:sz w:val="28"/>
          <w14:textFill>
            <w14:solidFill>
              <w14:schemeClr w14:val="tx1"/>
            </w14:solidFill>
          </w14:textFill>
        </w:rPr>
      </w:pPr>
      <w:r>
        <w:rPr>
          <w:rFonts w:hint="eastAsia" w:ascii="黑体" w:hAnsi="宋体" w:eastAsia="黑体"/>
          <w:bCs/>
          <w:color w:val="000000" w:themeColor="text1"/>
          <w:sz w:val="28"/>
          <w:lang w:val="en-US" w:eastAsia="zh-CN"/>
          <w14:textFill>
            <w14:solidFill>
              <w14:schemeClr w14:val="tx1"/>
            </w14:solidFill>
          </w14:textFill>
        </w:rPr>
        <w:t>1</w:t>
      </w:r>
      <w:r>
        <w:rPr>
          <w:rFonts w:hint="eastAsia" w:ascii="黑体" w:hAnsi="宋体" w:eastAsia="黑体"/>
          <w:bCs/>
          <w:color w:val="000000" w:themeColor="text1"/>
          <w:sz w:val="28"/>
          <w14:textFill>
            <w14:solidFill>
              <w14:schemeClr w14:val="tx1"/>
            </w14:solidFill>
          </w14:textFill>
        </w:rPr>
        <w:t xml:space="preserve">  </w:t>
      </w:r>
      <w:r>
        <w:rPr>
          <w:rFonts w:hint="eastAsia" w:ascii="黑体" w:hAnsi="黑体" w:eastAsia="黑体"/>
          <w:bCs/>
          <w:color w:val="000000" w:themeColor="text1"/>
          <w:sz w:val="28"/>
          <w14:textFill>
            <w14:solidFill>
              <w14:schemeClr w14:val="tx1"/>
            </w14:solidFill>
          </w14:textFill>
        </w:rPr>
        <w:t>导言</w:t>
      </w:r>
      <w:bookmarkEnd w:id="0"/>
    </w:p>
    <w:p>
      <w:pPr>
        <w:spacing w:line="360" w:lineRule="auto"/>
        <w:outlineLvl w:val="1"/>
        <w:rPr>
          <w:rFonts w:ascii="黑体" w:hAnsi="黑体" w:eastAsia="黑体"/>
          <w:bCs/>
          <w:color w:val="000000" w:themeColor="text1"/>
          <w:sz w:val="28"/>
          <w14:textFill>
            <w14:solidFill>
              <w14:schemeClr w14:val="tx1"/>
            </w14:solidFill>
          </w14:textFill>
        </w:rPr>
      </w:pPr>
      <w:bookmarkStart w:id="1" w:name="_Toc515369596"/>
      <w:r>
        <w:rPr>
          <w:rFonts w:hint="eastAsia" w:ascii="黑体" w:hAnsi="黑体" w:eastAsia="黑体"/>
          <w:bCs/>
          <w:color w:val="000000" w:themeColor="text1"/>
          <w:sz w:val="24"/>
          <w14:textFill>
            <w14:solidFill>
              <w14:schemeClr w14:val="tx1"/>
            </w14:solidFill>
          </w14:textFill>
        </w:rPr>
        <w:t>1.1  研究背景</w:t>
      </w:r>
      <w:bookmarkEnd w:id="1"/>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教育是民生之基，对经济的增长有着非常重要的推动作用，对一个国家的发展有着巨大的溢出效益，历来受到政府和人民的高度关注。人力资本理论的创始者舒尔茨早就提出，与其他类型的投资相比，人力资本投资回报率很高，人口的质量、知识的投资在很大程度上决定了人类未来的前景（1960）</w:t>
      </w:r>
      <w:r>
        <w:rPr>
          <w:rStyle w:val="12"/>
          <w:bCs/>
          <w:color w:val="000000" w:themeColor="text1"/>
          <w:sz w:val="24"/>
          <w14:textFill>
            <w14:solidFill>
              <w14:schemeClr w14:val="tx1"/>
            </w14:solidFill>
          </w14:textFill>
        </w:rPr>
        <w:footnoteReference w:id="0"/>
      </w:r>
      <w:r>
        <w:rPr>
          <w:rFonts w:hint="eastAsia"/>
          <w:bCs/>
          <w:color w:val="000000" w:themeColor="text1"/>
          <w:sz w:val="24"/>
          <w14:textFill>
            <w14:solidFill>
              <w14:schemeClr w14:val="tx1"/>
            </w14:solidFill>
          </w14:textFill>
        </w:rPr>
        <w:t>。我国将“科教兴国”列为一项基本国策，党的十九大报告也强调“把教育事业放在优先位置”，可见教育在国家发展中有着重要地位。我国对于财政教育支出的投入也一直保持着增长态势， 2016年财政教育支出达到28072.78亿元，是2012年的1.36倍，年均增长7.9%；财政教育支出占GDP的比例也逐渐上升，从1990年的2.3% 上升为2016年的4.28%</w:t>
      </w:r>
      <w:r>
        <w:rPr>
          <w:rStyle w:val="12"/>
          <w:bCs/>
          <w:color w:val="000000" w:themeColor="text1"/>
          <w:sz w:val="24"/>
          <w14:textFill>
            <w14:solidFill>
              <w14:schemeClr w14:val="tx1"/>
            </w14:solidFill>
          </w14:textFill>
        </w:rPr>
        <w:footnoteReference w:id="1"/>
      </w:r>
      <w:r>
        <w:rPr>
          <w:rFonts w:hint="eastAsia"/>
          <w:bCs/>
          <w:color w:val="000000" w:themeColor="text1"/>
          <w:sz w:val="24"/>
          <w14:textFill>
            <w14:solidFill>
              <w14:schemeClr w14:val="tx1"/>
            </w14:solidFill>
          </w14:textFill>
        </w:rPr>
        <w:t>，这也是国家财政性教育经费支出占GDP的比例连续第五年保持在4%以上。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随着华东地区经济发展水平的不断提高，其财政教育的投入也在不断加大，财政教育支出由2002年的795.40亿元增长到2016年的8358.79亿元，增长速度最快时达到49.88%，占GDP和财政支出的比重也有所上升。尽管如此，华东各省份间的财政教育支出规模仍存在很大差异，《2017年中国统计年鉴》显示，2016年华东地区财政教育支出规模最大的省份是江苏省，为1842.94亿元；支出规模最小的是福建省，为789.11亿元，相差2.34倍。除了财政教育支出规模存在差异外，华东地区六省一市的财政教育支出增长速度、占财政支出比重、占GDP比重也存在很大差异。本质上来说，财政教育支出是对人力资本进行的投资，有利于优化教育资源的配置，促进教育事业的进步，为推动华东地区经济发展提供人才保障。而这些差异的存在，不利于华东地区教育事业的均衡化发展，因此，对华东地区的财政教育支出规模差异及影响因素的研究也越来越有必要。</w:t>
      </w:r>
    </w:p>
    <w:p>
      <w:pPr>
        <w:spacing w:line="360" w:lineRule="auto"/>
        <w:outlineLvl w:val="1"/>
        <w:rPr>
          <w:rFonts w:ascii="黑体" w:hAnsi="黑体" w:eastAsia="黑体"/>
          <w:bCs/>
          <w:color w:val="000000" w:themeColor="text1"/>
          <w:sz w:val="24"/>
          <w14:textFill>
            <w14:solidFill>
              <w14:schemeClr w14:val="tx1"/>
            </w14:solidFill>
          </w14:textFill>
        </w:rPr>
      </w:pPr>
      <w:bookmarkStart w:id="2" w:name="_Toc515369597"/>
      <w:r>
        <w:rPr>
          <w:rFonts w:hint="eastAsia" w:ascii="黑体" w:hAnsi="黑体" w:eastAsia="黑体"/>
          <w:bCs/>
          <w:color w:val="000000" w:themeColor="text1"/>
          <w:sz w:val="24"/>
          <w14:textFill>
            <w14:solidFill>
              <w14:schemeClr w14:val="tx1"/>
            </w14:solidFill>
          </w14:textFill>
        </w:rPr>
        <w:t>1.2  研究意义</w:t>
      </w:r>
      <w:bookmarkEnd w:id="2"/>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自义务教育制度实施以来，华东地区各级政府按其财政职责，不断增加财政教育支出，但由于各省份间的经济和社会发展情况差异较大，国家的支持力度也不同，华东各地区间的财政教育支出存在很大差异。因此，对华东地区的财政教育支出及其影响因素进行分析，有利于深入了解其地区间财政教育支出的差异化情况，并明确这一差异的影响因素，对研究财政教育支出规模、提高教育投入效果有作用，对于缩小地区间财政教育支出差异、推动教育事业发展具有理论意义。</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华东地区目前的财政教育支出状况来看，各省份间存在着地区差异较大的问题。制定合理有效的财政政策、缩小地区间财政教育支出差异，是华东地区在经济转型期急需解决的问题。对华东地区财政教育支出规模差异及影响因素进行分析，有助于有针对性地提出对策建议，为推动华东地区教育事业发展提供有效途径，提升当地教育水平，增加人力资本储存量，为地区经济发展注入新动力。有助于华东地区在科学发展观的要求下，针对当地经济、教育发展过程中存在的差异，制定有效的区域发展战略，最大程度地发挥教育对经济增长的促进作用，实现和谐发展、携手共进，对公平合理地分配财政教育支出资源具有现实意义。</w:t>
      </w:r>
    </w:p>
    <w:p>
      <w:pPr>
        <w:spacing w:line="360" w:lineRule="auto"/>
        <w:outlineLvl w:val="1"/>
        <w:rPr>
          <w:rFonts w:ascii="黑体" w:hAnsi="黑体" w:eastAsia="黑体"/>
          <w:bCs/>
          <w:color w:val="000000" w:themeColor="text1"/>
          <w:sz w:val="24"/>
          <w14:textFill>
            <w14:solidFill>
              <w14:schemeClr w14:val="tx1"/>
            </w14:solidFill>
          </w14:textFill>
        </w:rPr>
      </w:pPr>
      <w:bookmarkStart w:id="3" w:name="_Toc515369598"/>
      <w:r>
        <w:rPr>
          <w:rFonts w:hint="eastAsia" w:ascii="黑体" w:hAnsi="黑体" w:eastAsia="黑体"/>
          <w:bCs/>
          <w:color w:val="000000" w:themeColor="text1"/>
          <w:sz w:val="24"/>
          <w14:textFill>
            <w14:solidFill>
              <w14:schemeClr w14:val="tx1"/>
            </w14:solidFill>
          </w14:textFill>
        </w:rPr>
        <w:t>1.3  国内外研究现状</w:t>
      </w:r>
      <w:bookmarkEnd w:id="3"/>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关于财政教育支出规模的差异问题，国内外学者大多数从地区间差异方面研究，认为各地财政教育支出是存在差异的。檀慧玲</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刘艳</w:t>
      </w:r>
      <w:r>
        <w:rPr>
          <w:bCs/>
          <w:color w:val="000000" w:themeColor="text1"/>
          <w:sz w:val="24"/>
          <w:vertAlign w:val="superscript"/>
          <w14:textFill>
            <w14:solidFill>
              <w14:schemeClr w14:val="tx1"/>
            </w14:solidFill>
          </w14:textFill>
        </w:rPr>
        <w:t>[1]</w:t>
      </w:r>
      <w:r>
        <w:rPr>
          <w:rFonts w:asciiTheme="minorEastAsia" w:hAnsiTheme="minorEastAsia" w:eastAsiaTheme="minor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2016</w:t>
      </w:r>
      <w:r>
        <w:rPr>
          <w:rFonts w:asciiTheme="minorEastAsia" w:hAnsiTheme="minorEastAsia" w:eastAsiaTheme="minorEastAsia"/>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程天君</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2</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（2017）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王秋依</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3</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（2018）的研究均提出，我国的教育平等呈现明显的地区分化特征，</w:t>
      </w:r>
      <w:r>
        <w:rPr>
          <w:rFonts w:hint="eastAsia"/>
          <w:bCs/>
          <w:color w:val="000000" w:themeColor="text1"/>
          <w:sz w:val="24"/>
          <w14:textFill>
            <w14:solidFill>
              <w14:schemeClr w14:val="tx1"/>
            </w14:solidFill>
          </w14:textFill>
        </w:rPr>
        <w:t>尽管教育的</w:t>
      </w:r>
      <w:r>
        <w:rPr>
          <w:bCs/>
          <w:color w:val="000000" w:themeColor="text1"/>
          <w:sz w:val="24"/>
          <w14:textFill>
            <w14:solidFill>
              <w14:schemeClr w14:val="tx1"/>
            </w14:solidFill>
          </w14:textFill>
        </w:rPr>
        <w:t>不公平</w:t>
      </w:r>
      <w:r>
        <w:rPr>
          <w:rFonts w:hint="eastAsia"/>
          <w:bCs/>
          <w:color w:val="000000" w:themeColor="text1"/>
          <w:sz w:val="24"/>
          <w14:textFill>
            <w14:solidFill>
              <w14:schemeClr w14:val="tx1"/>
            </w14:solidFill>
          </w14:textFill>
        </w:rPr>
        <w:t>程</w:t>
      </w:r>
      <w:r>
        <w:rPr>
          <w:bCs/>
          <w:color w:val="000000" w:themeColor="text1"/>
          <w:sz w:val="24"/>
          <w14:textFill>
            <w14:solidFill>
              <w14:schemeClr w14:val="tx1"/>
            </w14:solidFill>
          </w14:textFill>
        </w:rPr>
        <w:t>度</w:t>
      </w:r>
      <w:r>
        <w:rPr>
          <w:rFonts w:hint="eastAsia"/>
          <w:bCs/>
          <w:color w:val="000000" w:themeColor="text1"/>
          <w:sz w:val="24"/>
          <w14:textFill>
            <w14:solidFill>
              <w14:schemeClr w14:val="tx1"/>
            </w14:solidFill>
          </w14:textFill>
        </w:rPr>
        <w:t>整体上有所</w:t>
      </w:r>
      <w:r>
        <w:rPr>
          <w:bCs/>
          <w:color w:val="000000" w:themeColor="text1"/>
          <w:sz w:val="24"/>
          <w14:textFill>
            <w14:solidFill>
              <w14:schemeClr w14:val="tx1"/>
            </w14:solidFill>
          </w14:textFill>
        </w:rPr>
        <w:t>下降，全国</w:t>
      </w:r>
      <w:r>
        <w:rPr>
          <w:rFonts w:hint="eastAsia"/>
          <w:bCs/>
          <w:color w:val="000000" w:themeColor="text1"/>
          <w:sz w:val="24"/>
          <w14:textFill>
            <w14:solidFill>
              <w14:schemeClr w14:val="tx1"/>
            </w14:solidFill>
          </w14:textFill>
        </w:rPr>
        <w:t>不同省份</w:t>
      </w:r>
      <w:r>
        <w:rPr>
          <w:bCs/>
          <w:color w:val="000000" w:themeColor="text1"/>
          <w:sz w:val="24"/>
          <w14:textFill>
            <w14:solidFill>
              <w14:schemeClr w14:val="tx1"/>
            </w14:solidFill>
          </w14:textFill>
        </w:rPr>
        <w:t>间、地区间</w:t>
      </w:r>
      <w:r>
        <w:rPr>
          <w:rFonts w:hint="eastAsia"/>
          <w:bCs/>
          <w:color w:val="000000" w:themeColor="text1"/>
          <w:sz w:val="24"/>
          <w14:textFill>
            <w14:solidFill>
              <w14:schemeClr w14:val="tx1"/>
            </w14:solidFill>
          </w14:textFill>
        </w:rPr>
        <w:t>的</w:t>
      </w:r>
      <w:r>
        <w:rPr>
          <w:bCs/>
          <w:color w:val="000000" w:themeColor="text1"/>
          <w:sz w:val="24"/>
          <w14:textFill>
            <w14:solidFill>
              <w14:schemeClr w14:val="tx1"/>
            </w14:solidFill>
          </w14:textFill>
        </w:rPr>
        <w:t>教育</w:t>
      </w:r>
      <w:r>
        <w:rPr>
          <w:rFonts w:hint="eastAsia"/>
          <w:bCs/>
          <w:color w:val="000000" w:themeColor="text1"/>
          <w:sz w:val="24"/>
          <w14:textFill>
            <w14:solidFill>
              <w14:schemeClr w14:val="tx1"/>
            </w14:solidFill>
          </w14:textFill>
        </w:rPr>
        <w:t>差异却在加大。</w:t>
      </w:r>
      <w:r>
        <w:rPr>
          <w:bCs/>
          <w:color w:val="000000" w:themeColor="text1"/>
          <w:sz w:val="24"/>
          <w14:textFill>
            <w14:solidFill>
              <w14:schemeClr w14:val="tx1"/>
            </w14:solidFill>
          </w14:textFill>
        </w:rPr>
        <w:t>刘凌</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方艳</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黄恺泰</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4</w:t>
      </w:r>
      <w:r>
        <w:rPr>
          <w:bCs/>
          <w:color w:val="000000" w:themeColor="text1"/>
          <w:sz w:val="24"/>
          <w:vertAlign w:val="superscript"/>
          <w14:textFill>
            <w14:solidFill>
              <w14:schemeClr w14:val="tx1"/>
            </w14:solidFill>
          </w14:textFill>
        </w:rPr>
        <w:t>]</w:t>
      </w:r>
      <w:r>
        <w:rPr>
          <w:color w:val="000000" w:themeColor="text1"/>
          <w:sz w:val="24"/>
          <w14:textFill>
            <w14:solidFill>
              <w14:schemeClr w14:val="tx1"/>
            </w14:solidFill>
          </w14:textFill>
        </w:rPr>
        <w:t>（2018）</w:t>
      </w:r>
      <w:r>
        <w:rPr>
          <w:bCs/>
          <w:color w:val="000000" w:themeColor="text1"/>
          <w:sz w:val="24"/>
          <w14:textFill>
            <w14:solidFill>
              <w14:schemeClr w14:val="tx1"/>
            </w14:solidFill>
          </w14:textFill>
        </w:rPr>
        <w:t>的研究进一步指出，沿海省份与其它地区之间的支出差异非常明显。</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在财政分权对财政教育支出规模差异的影响方面，国外学者主要持乐观看法，认为财政分权程度越高，越有利于财政教育支出的增加。</w:t>
      </w:r>
      <w:r>
        <w:rPr>
          <w:bCs/>
          <w:color w:val="000000" w:themeColor="text1"/>
          <w:sz w:val="24"/>
          <w14:textFill>
            <w14:solidFill>
              <w14:schemeClr w14:val="tx1"/>
            </w14:solidFill>
          </w14:textFill>
        </w:rPr>
        <w:t>Tiebout</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5</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1956</w:t>
      </w:r>
      <w:r>
        <w:rPr>
          <w:rFonts w:hint="eastAsia"/>
          <w:bCs/>
          <w:color w:val="000000" w:themeColor="text1"/>
          <w:sz w:val="24"/>
          <w14:textFill>
            <w14:solidFill>
              <w14:schemeClr w14:val="tx1"/>
            </w14:solidFill>
          </w14:textFill>
        </w:rPr>
        <w:t>）提出的“以脚投票”机制认为，分权体制下地方公共品能够有效地提供。</w:t>
      </w:r>
      <w:r>
        <w:rPr>
          <w:bCs/>
          <w:color w:val="000000" w:themeColor="text1"/>
          <w:sz w:val="24"/>
          <w14:textFill>
            <w14:solidFill>
              <w14:schemeClr w14:val="tx1"/>
            </w14:solidFill>
          </w14:textFill>
        </w:rPr>
        <w:t>Arzedel Granado</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6</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2003</w:t>
      </w:r>
      <w:r>
        <w:rPr>
          <w:rFonts w:hint="eastAsia"/>
          <w:bCs/>
          <w:color w:val="000000" w:themeColor="text1"/>
          <w:sz w:val="24"/>
          <w14:textFill>
            <w14:solidFill>
              <w14:schemeClr w14:val="tx1"/>
            </w14:solidFill>
          </w14:textFill>
        </w:rPr>
        <w:t>）也持同样的观点，认为财政分权程度对财政教育支出有显著的正向影响。</w:t>
      </w:r>
      <w:r>
        <w:rPr>
          <w:bCs/>
          <w:color w:val="000000" w:themeColor="text1"/>
          <w:sz w:val="24"/>
          <w14:textFill>
            <w14:solidFill>
              <w14:schemeClr w14:val="tx1"/>
            </w14:solidFill>
          </w14:textFill>
        </w:rPr>
        <w:t>Zhuravskaya</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7</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2000</w:t>
      </w:r>
      <w:r>
        <w:rPr>
          <w:rFonts w:hint="eastAsia"/>
          <w:bCs/>
          <w:color w:val="000000" w:themeColor="text1"/>
          <w:sz w:val="24"/>
          <w14:textFill>
            <w14:solidFill>
              <w14:schemeClr w14:val="tx1"/>
            </w14:solidFill>
          </w14:textFill>
        </w:rPr>
        <w:t>）和</w:t>
      </w:r>
      <w:r>
        <w:rPr>
          <w:bCs/>
          <w:color w:val="000000" w:themeColor="text1"/>
          <w:sz w:val="24"/>
          <w14:textFill>
            <w14:solidFill>
              <w14:schemeClr w14:val="tx1"/>
            </w14:solidFill>
          </w14:textFill>
        </w:rPr>
        <w:t>Faguet</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8</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2004</w:t>
      </w:r>
      <w:r>
        <w:rPr>
          <w:rFonts w:hint="eastAsia"/>
          <w:bCs/>
          <w:color w:val="000000" w:themeColor="text1"/>
          <w:sz w:val="24"/>
          <w14:textFill>
            <w14:solidFill>
              <w14:schemeClr w14:val="tx1"/>
            </w14:solidFill>
          </w14:textFill>
        </w:rPr>
        <w:t>）的研究均表明，财政分权之后的激励机制促使地方政府加大教育、卫生等支出。然而国内大多数学者认为这一结论并不完全适用于我国的情况。杨良松、任超然</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9</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（2015）的研究表明，各省与地级市对县乡级政府财政支出分权显著影响了区域内的义务教育支出。</w:t>
      </w:r>
      <w:r>
        <w:rPr>
          <w:rFonts w:hint="eastAsia" w:ascii="宋体" w:hAnsi="宋体" w:cs="宋体"/>
          <w:bCs/>
          <w:color w:val="000000" w:themeColor="text1"/>
          <w:sz w:val="24"/>
          <w14:textFill>
            <w14:solidFill>
              <w14:schemeClr w14:val="tx1"/>
            </w14:solidFill>
          </w14:textFill>
        </w:rPr>
        <w:t>宋珏遐</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0</w:t>
      </w:r>
      <w:r>
        <w:rPr>
          <w:bCs/>
          <w:color w:val="000000" w:themeColor="text1"/>
          <w:sz w:val="24"/>
          <w:vertAlign w:val="superscript"/>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2016</w:t>
      </w:r>
      <w:r>
        <w:rPr>
          <w:rFonts w:hint="eastAsia" w:ascii="宋体" w:hAnsi="宋体" w:cs="宋体"/>
          <w:bCs/>
          <w:color w:val="000000" w:themeColor="text1"/>
          <w:sz w:val="24"/>
          <w14:textFill>
            <w14:solidFill>
              <w14:schemeClr w14:val="tx1"/>
            </w14:solidFill>
          </w14:textFill>
        </w:rPr>
        <w:t>）认为财政分权对公共教育供给水平具有负面影响，且对中部地区影响最大。</w:t>
      </w:r>
      <w:r>
        <w:rPr>
          <w:rFonts w:hint="eastAsia"/>
          <w:bCs/>
          <w:color w:val="000000" w:themeColor="text1"/>
          <w:sz w:val="24"/>
          <w14:textFill>
            <w14:solidFill>
              <w14:schemeClr w14:val="tx1"/>
            </w14:solidFill>
          </w14:textFill>
        </w:rPr>
        <w:t>罗贵明</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11</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（2017），钱佳、雷万鹏</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2</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（2017），于井远</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3</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（2018）等人提出，各地政府间存在着一种自上而下的标尺竞赛，这是由我国独特的垂直政治治理体制造成的，政府的财政分权程度越高，财政教育支出越少。赵兴罗、粟小芳</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4</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（2018），王艳、张焕明</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5</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（2018）</w:t>
      </w:r>
      <w:r>
        <w:rPr>
          <w:rFonts w:hint="eastAsia" w:ascii="宋体" w:hAnsi="宋体" w:cs="宋体"/>
          <w:bCs/>
          <w:color w:val="000000" w:themeColor="text1"/>
          <w:sz w:val="24"/>
          <w14:textFill>
            <w14:solidFill>
              <w14:schemeClr w14:val="tx1"/>
            </w14:solidFill>
          </w14:textFill>
        </w:rPr>
        <w:t>等认为，财政分权形成的政府激励会不利于各级政府对教育的投入，并且分权程度越高越不利于各地的教育支出。</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在政府竞争对财政教育支出规模差异的影响方面，</w:t>
      </w:r>
      <w:r>
        <w:rPr>
          <w:bCs/>
          <w:color w:val="000000" w:themeColor="text1"/>
          <w:sz w:val="24"/>
          <w14:textFill>
            <w14:solidFill>
              <w14:schemeClr w14:val="tx1"/>
            </w14:solidFill>
          </w14:textFill>
        </w:rPr>
        <w:t>Tiebout</w:t>
      </w:r>
      <w:r>
        <w:rPr>
          <w:bCs/>
          <w:color w:val="000000" w:themeColor="text1"/>
          <w:sz w:val="24"/>
          <w:vertAlign w:val="superscript"/>
          <w14:textFill>
            <w14:solidFill>
              <w14:schemeClr w14:val="tx1"/>
            </w14:solidFill>
          </w14:textFill>
        </w:rPr>
        <w:t>[5]</w:t>
      </w:r>
      <w:r>
        <w:rPr>
          <w:rFonts w:hint="eastAsia"/>
          <w:bCs/>
          <w:color w:val="000000" w:themeColor="text1"/>
          <w:sz w:val="24"/>
          <w14:textFill>
            <w14:solidFill>
              <w14:schemeClr w14:val="tx1"/>
            </w14:solidFill>
          </w14:textFill>
        </w:rPr>
        <w:t>（1956）提出的观点认为</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地方政府彼此之间的竞争是提高公共服务经济效率的基本机制。</w:t>
      </w:r>
      <w:r>
        <w:rPr>
          <w:bCs/>
          <w:color w:val="000000" w:themeColor="text1"/>
          <w:sz w:val="24"/>
          <w14:textFill>
            <w14:solidFill>
              <w14:schemeClr w14:val="tx1"/>
            </w14:solidFill>
          </w14:textFill>
        </w:rPr>
        <w:t>Kee</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Marchard</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6</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（1997）则认为，政府间的竞争导致有些地区偏好生产性的公共项目，而忽视对消费性公共项目的投入。国内方面，</w:t>
      </w:r>
      <w:r>
        <w:rPr>
          <w:rFonts w:hint="eastAsia" w:ascii="宋体" w:hAnsi="宋体" w:cs="宋体"/>
          <w:bCs/>
          <w:color w:val="000000" w:themeColor="text1"/>
          <w:sz w:val="24"/>
          <w14:textFill>
            <w14:solidFill>
              <w14:schemeClr w14:val="tx1"/>
            </w14:solidFill>
          </w14:textFill>
        </w:rPr>
        <w:t>平新乔</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7</w:t>
      </w:r>
      <w:r>
        <w:rPr>
          <w:bCs/>
          <w:color w:val="000000" w:themeColor="text1"/>
          <w:sz w:val="24"/>
          <w:vertAlign w:val="superscript"/>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w:t>
      </w:r>
      <w:r>
        <w:rPr>
          <w:bCs/>
          <w:color w:val="000000" w:themeColor="text1"/>
          <w:sz w:val="24"/>
          <w14:textFill>
            <w14:solidFill>
              <w14:schemeClr w14:val="tx1"/>
            </w14:solidFill>
          </w14:textFill>
        </w:rPr>
        <w:t>2018</w:t>
      </w:r>
      <w:r>
        <w:rPr>
          <w:rFonts w:hint="eastAsia" w:ascii="宋体" w:hAnsi="宋体" w:cs="宋体"/>
          <w:bCs/>
          <w:color w:val="000000" w:themeColor="text1"/>
          <w:sz w:val="24"/>
          <w14:textFill>
            <w14:solidFill>
              <w14:schemeClr w14:val="tx1"/>
            </w14:solidFill>
          </w14:textFill>
        </w:rPr>
        <w:t>）的研究表明，财政分权下地区间的竞争会降低在公共服务方面的公共支出。</w:t>
      </w:r>
      <w:r>
        <w:rPr>
          <w:rFonts w:hint="eastAsia"/>
          <w:bCs/>
          <w:color w:val="000000" w:themeColor="text1"/>
          <w:sz w:val="24"/>
          <w14:textFill>
            <w14:solidFill>
              <w14:schemeClr w14:val="tx1"/>
            </w14:solidFill>
          </w14:textFill>
        </w:rPr>
        <w:t>许敬轩，王诗雨</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8</w:t>
      </w:r>
      <w:r>
        <w:rPr>
          <w:bCs/>
          <w:color w:val="000000" w:themeColor="text1"/>
          <w:sz w:val="24"/>
          <w:vertAlign w:val="superscript"/>
          <w14:textFill>
            <w14:solidFill>
              <w14:schemeClr w14:val="tx1"/>
            </w14:solidFill>
          </w14:textFill>
        </w:rPr>
        <w:t>]</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201</w:t>
      </w:r>
      <w:r>
        <w:rPr>
          <w:rFonts w:hint="eastAsia"/>
          <w:bCs/>
          <w:color w:val="000000" w:themeColor="text1"/>
          <w:sz w:val="24"/>
          <w14:textFill>
            <w14:solidFill>
              <w14:schemeClr w14:val="tx1"/>
            </w14:solidFill>
          </w14:textFill>
        </w:rPr>
        <w:t>7）的研究发现，财政教育支出占</w:t>
      </w:r>
      <w:r>
        <w:rPr>
          <w:bCs/>
          <w:color w:val="000000" w:themeColor="text1"/>
          <w:sz w:val="24"/>
          <w14:textFill>
            <w14:solidFill>
              <w14:schemeClr w14:val="tx1"/>
            </w14:solidFill>
          </w14:textFill>
        </w:rPr>
        <w:t>GDP</w:t>
      </w:r>
      <w:r>
        <w:rPr>
          <w:rFonts w:hint="eastAsia"/>
          <w:bCs/>
          <w:color w:val="000000" w:themeColor="text1"/>
          <w:sz w:val="24"/>
          <w14:textFill>
            <w14:solidFill>
              <w14:schemeClr w14:val="tx1"/>
            </w14:solidFill>
          </w14:textFill>
        </w:rPr>
        <w:t>比重达到</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的样本地区，财政教育支出与地方政府竞争有显著的正相关关系；而财政教育支出占</w:t>
      </w:r>
      <w:r>
        <w:rPr>
          <w:bCs/>
          <w:color w:val="000000" w:themeColor="text1"/>
          <w:sz w:val="24"/>
          <w14:textFill>
            <w14:solidFill>
              <w14:schemeClr w14:val="tx1"/>
            </w14:solidFill>
          </w14:textFill>
        </w:rPr>
        <w:t>GDP</w:t>
      </w:r>
      <w:r>
        <w:rPr>
          <w:rFonts w:hint="eastAsia"/>
          <w:bCs/>
          <w:color w:val="000000" w:themeColor="text1"/>
          <w:sz w:val="24"/>
          <w14:textFill>
            <w14:solidFill>
              <w14:schemeClr w14:val="tx1"/>
            </w14:solidFill>
          </w14:textFill>
        </w:rPr>
        <w:t>比重没有达到</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的样本地区，财政教育支出与地方政府竞争则呈现为显著的负相关关系。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在财政自给度、经济发展水平、人口结构对财政教育支出规模差异的影响方面，Arzedel Granado</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6</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（2003）的结论认为，财政自给度对教育支出比重具有显著的正效应。</w:t>
      </w:r>
      <w:r>
        <w:rPr>
          <w:rFonts w:hint="eastAsia"/>
          <w:bCs/>
          <w:color w:val="000000" w:themeColor="text1"/>
          <w:sz w:val="24"/>
          <w14:textFill>
            <w14:solidFill>
              <w14:schemeClr w14:val="tx1"/>
            </w14:solidFill>
          </w14:textFill>
        </w:rPr>
        <w:t>柳欣源</w:t>
      </w:r>
      <w:r>
        <w:rPr>
          <w:bCs/>
          <w:color w:val="000000" w:themeColor="text1"/>
          <w:sz w:val="24"/>
          <w:vertAlign w:val="superscript"/>
          <w14:textFill>
            <w14:solidFill>
              <w14:schemeClr w14:val="tx1"/>
            </w14:solidFill>
          </w14:textFill>
        </w:rPr>
        <w:t>[1</w:t>
      </w:r>
      <w:r>
        <w:rPr>
          <w:rFonts w:hint="eastAsia"/>
          <w:bCs/>
          <w:color w:val="000000" w:themeColor="text1"/>
          <w:sz w:val="24"/>
          <w:vertAlign w:val="superscript"/>
          <w14:textFill>
            <w14:solidFill>
              <w14:schemeClr w14:val="tx1"/>
            </w14:solidFill>
          </w14:textFill>
        </w:rPr>
        <w:t>9</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17</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的研究表明，</w:t>
      </w:r>
      <w:r>
        <w:rPr>
          <w:bCs/>
          <w:color w:val="000000" w:themeColor="text1"/>
          <w:sz w:val="24"/>
          <w14:textFill>
            <w14:solidFill>
              <w14:schemeClr w14:val="tx1"/>
            </w14:solidFill>
          </w14:textFill>
        </w:rPr>
        <w:t>财政制度安排是</w:t>
      </w:r>
      <w:r>
        <w:rPr>
          <w:rFonts w:hint="eastAsia"/>
          <w:bCs/>
          <w:color w:val="000000" w:themeColor="text1"/>
          <w:sz w:val="24"/>
          <w14:textFill>
            <w14:solidFill>
              <w14:schemeClr w14:val="tx1"/>
            </w14:solidFill>
          </w14:textFill>
        </w:rPr>
        <w:t>各地</w:t>
      </w:r>
      <w:r>
        <w:rPr>
          <w:bCs/>
          <w:color w:val="000000" w:themeColor="text1"/>
          <w:sz w:val="24"/>
          <w14:textFill>
            <w14:solidFill>
              <w14:schemeClr w14:val="tx1"/>
            </w14:solidFill>
          </w14:textFill>
        </w:rPr>
        <w:t>财政教育投入力度的决定因素。</w:t>
      </w:r>
      <w:r>
        <w:rPr>
          <w:rFonts w:hint="eastAsia"/>
          <w:bCs/>
          <w:color w:val="000000" w:themeColor="text1"/>
          <w:sz w:val="24"/>
          <w14:textFill>
            <w14:solidFill>
              <w14:schemeClr w14:val="tx1"/>
            </w14:solidFill>
          </w14:textFill>
        </w:rPr>
        <w:t>刘凤娟、司言武</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20</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17</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，晋玲利</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21</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17</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，巫南杰、邓新</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22</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18</w:t>
      </w:r>
      <w:r>
        <w:rPr>
          <w:bCs/>
          <w:color w:val="000000" w:themeColor="text1"/>
          <w:sz w:val="24"/>
          <w14:textFill>
            <w14:solidFill>
              <w14:schemeClr w14:val="tx1"/>
            </w14:solidFill>
          </w14:textFill>
        </w:rPr>
        <w:t>）研究发现，各省份的教育发展水平取决于地方经济和财政发展状况，区域教育投资增长率与地区生产总值增长率、财政教育经费增长率正相关。</w:t>
      </w:r>
      <w:r>
        <w:rPr>
          <w:rFonts w:hint="eastAsia"/>
          <w:bCs/>
          <w:color w:val="000000" w:themeColor="text1"/>
          <w:sz w:val="24"/>
          <w14:textFill>
            <w14:solidFill>
              <w14:schemeClr w14:val="tx1"/>
            </w14:solidFill>
          </w14:textFill>
        </w:rPr>
        <w:t>傅志明、陈庆海、谭彐琼</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23</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7）则认为在</w:t>
      </w:r>
      <w:r>
        <w:rPr>
          <w:rFonts w:hint="eastAsia"/>
          <w:bCs/>
          <w:color w:val="000000" w:themeColor="text1"/>
          <w:sz w:val="24"/>
          <w14:textFill>
            <w14:solidFill>
              <w14:schemeClr w14:val="tx1"/>
            </w14:solidFill>
          </w14:textFill>
        </w:rPr>
        <w:t>某</w:t>
      </w:r>
      <w:r>
        <w:rPr>
          <w:bCs/>
          <w:color w:val="000000" w:themeColor="text1"/>
          <w:sz w:val="24"/>
          <w14:textFill>
            <w14:solidFill>
              <w14:schemeClr w14:val="tx1"/>
            </w14:solidFill>
          </w14:textFill>
        </w:rPr>
        <w:t>些特</w:t>
      </w:r>
      <w:r>
        <w:rPr>
          <w:rFonts w:hint="eastAsia"/>
          <w:bCs/>
          <w:color w:val="000000" w:themeColor="text1"/>
          <w:sz w:val="24"/>
          <w14:textFill>
            <w14:solidFill>
              <w14:schemeClr w14:val="tx1"/>
            </w14:solidFill>
          </w14:textFill>
        </w:rPr>
        <w:t>定时期，</w:t>
      </w:r>
      <w:r>
        <w:rPr>
          <w:bCs/>
          <w:color w:val="000000" w:themeColor="text1"/>
          <w:sz w:val="24"/>
          <w14:textFill>
            <w14:solidFill>
              <w14:schemeClr w14:val="tx1"/>
            </w14:solidFill>
          </w14:textFill>
        </w:rPr>
        <w:t>经济</w:t>
      </w:r>
      <w:r>
        <w:rPr>
          <w:rFonts w:hint="eastAsia"/>
          <w:bCs/>
          <w:color w:val="000000" w:themeColor="text1"/>
          <w:sz w:val="24"/>
          <w14:textFill>
            <w14:solidFill>
              <w14:schemeClr w14:val="tx1"/>
            </w14:solidFill>
          </w14:textFill>
        </w:rPr>
        <w:t>的</w:t>
      </w:r>
      <w:r>
        <w:rPr>
          <w:bCs/>
          <w:color w:val="000000" w:themeColor="text1"/>
          <w:sz w:val="24"/>
          <w14:textFill>
            <w14:solidFill>
              <w14:schemeClr w14:val="tx1"/>
            </w14:solidFill>
          </w14:textFill>
        </w:rPr>
        <w:t>发展与教育</w:t>
      </w:r>
      <w:r>
        <w:rPr>
          <w:rFonts w:hint="eastAsia"/>
          <w:bCs/>
          <w:color w:val="000000" w:themeColor="text1"/>
          <w:sz w:val="24"/>
          <w14:textFill>
            <w14:solidFill>
              <w14:schemeClr w14:val="tx1"/>
            </w14:solidFill>
          </w14:textFill>
        </w:rPr>
        <w:t>的投入</w:t>
      </w:r>
      <w:r>
        <w:rPr>
          <w:bCs/>
          <w:color w:val="000000" w:themeColor="text1"/>
          <w:sz w:val="24"/>
          <w14:textFill>
            <w14:solidFill>
              <w14:schemeClr w14:val="tx1"/>
            </w14:solidFill>
          </w14:textFill>
        </w:rPr>
        <w:t>之间并不存在简单的同步发展关系，国家政策因素对义务教育差异变动影响较大。</w:t>
      </w:r>
      <w:r>
        <w:rPr>
          <w:rFonts w:hint="eastAsia"/>
          <w:bCs/>
          <w:color w:val="000000" w:themeColor="text1"/>
          <w:sz w:val="24"/>
          <w14:textFill>
            <w14:solidFill>
              <w14:schemeClr w14:val="tx1"/>
            </w14:solidFill>
          </w14:textFill>
        </w:rPr>
        <w:t>王蓉、田志磊</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24</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8）实证分析得出，经济发展水平与公共教育支出之间存在着负相关关系</w:t>
      </w:r>
      <w:r>
        <w:rPr>
          <w:rFonts w:hint="eastAsia"/>
          <w:bCs/>
          <w:color w:val="000000" w:themeColor="text1"/>
          <w:sz w:val="24"/>
          <w14:textFill>
            <w14:solidFill>
              <w14:schemeClr w14:val="tx1"/>
            </w14:solidFill>
          </w14:textFill>
        </w:rPr>
        <w:t>。廖英成、张克荣</w:t>
      </w:r>
      <w:r>
        <w:rPr>
          <w:bCs/>
          <w:color w:val="000000" w:themeColor="text1"/>
          <w:sz w:val="24"/>
          <w:vertAlign w:val="superscript"/>
          <w14:textFill>
            <w14:solidFill>
              <w14:schemeClr w14:val="tx1"/>
            </w14:solidFill>
          </w14:textFill>
        </w:rPr>
        <w:t>[</w:t>
      </w:r>
      <w:r>
        <w:rPr>
          <w:rFonts w:hint="eastAsia"/>
          <w:bCs/>
          <w:color w:val="000000" w:themeColor="text1"/>
          <w:sz w:val="24"/>
          <w:vertAlign w:val="superscript"/>
          <w14:textFill>
            <w14:solidFill>
              <w14:schemeClr w14:val="tx1"/>
            </w14:solidFill>
          </w14:textFill>
        </w:rPr>
        <w:t>25</w:t>
      </w:r>
      <w:r>
        <w:rPr>
          <w:bCs/>
          <w:color w:val="000000" w:themeColor="text1"/>
          <w:sz w:val="24"/>
          <w:vertAlign w:val="superscript"/>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17</w:t>
      </w:r>
      <w:r>
        <w:rPr>
          <w:bCs/>
          <w:color w:val="000000" w:themeColor="text1"/>
          <w:sz w:val="24"/>
          <w14:textFill>
            <w14:solidFill>
              <w14:schemeClr w14:val="tx1"/>
            </w14:solidFill>
          </w14:textFill>
        </w:rPr>
        <w:t>）的结论表明，学生占人口的比重对财政教育支出规模差异具有显著的正效应，但是不够稳健。</w:t>
      </w:r>
    </w:p>
    <w:p>
      <w:pPr>
        <w:spacing w:line="360" w:lineRule="auto"/>
        <w:outlineLvl w:val="1"/>
        <w:rPr>
          <w:rFonts w:ascii="黑体" w:hAnsi="黑体" w:eastAsia="黑体"/>
          <w:bCs/>
          <w:color w:val="000000" w:themeColor="text1"/>
          <w:sz w:val="24"/>
          <w14:textFill>
            <w14:solidFill>
              <w14:schemeClr w14:val="tx1"/>
            </w14:solidFill>
          </w14:textFill>
        </w:rPr>
      </w:pPr>
      <w:bookmarkStart w:id="4" w:name="_Toc515369599"/>
      <w:r>
        <w:rPr>
          <w:rFonts w:hint="eastAsia" w:ascii="黑体" w:hAnsi="黑体" w:eastAsia="黑体"/>
          <w:bCs/>
          <w:color w:val="000000" w:themeColor="text1"/>
          <w:sz w:val="24"/>
          <w14:textFill>
            <w14:solidFill>
              <w14:schemeClr w14:val="tx1"/>
            </w14:solidFill>
          </w14:textFill>
        </w:rPr>
        <w:t>1.4  研究方法</w:t>
      </w:r>
      <w:bookmarkEnd w:id="4"/>
    </w:p>
    <w:p>
      <w:pPr>
        <w:spacing w:line="360" w:lineRule="auto"/>
        <w:rPr>
          <w:bCs/>
          <w:sz w:val="24"/>
        </w:rPr>
      </w:pPr>
      <w:r>
        <w:rPr>
          <w:rFonts w:hint="eastAsia"/>
          <w:bCs/>
          <w:sz w:val="24"/>
        </w:rPr>
        <w:t>1.4.1  比较分析法</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文通过数据测算和分析，对比了华东地区各省份财政教育支出规模的差异。通过系列指标的列举比较，对影响华东地区财政教育支出的因素进行实证对比分析，了解到华东地区财政教育支出差异的影响因素，以此作为调整和优化华东地区财政教育支出结构的依据。</w:t>
      </w:r>
    </w:p>
    <w:p>
      <w:pPr>
        <w:spacing w:line="360" w:lineRule="auto"/>
        <w:rPr>
          <w:bCs/>
          <w:sz w:val="24"/>
        </w:rPr>
      </w:pPr>
      <w:r>
        <w:rPr>
          <w:rFonts w:hint="eastAsia"/>
          <w:bCs/>
          <w:sz w:val="24"/>
        </w:rPr>
        <w:t>1.4.2  实证分析法</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针对华东地区财政教育支出的差异化，主要采用理论分析和实证研究相结合的方法。利用2002至2016年的数据，在第二部分研究华东地六省一市的财政教育支出时，采用了描述统计和变异系数的分析方法。在第四部分建立计量模型，用多元线性回归进行实证分析，探讨华东地区财政教育支出存在的差异与影响因素。</w:t>
      </w:r>
    </w:p>
    <w:p>
      <w:pPr>
        <w:spacing w:line="360" w:lineRule="auto"/>
        <w:outlineLvl w:val="1"/>
        <w:rPr>
          <w:rFonts w:ascii="黑体" w:hAnsi="黑体" w:eastAsia="黑体"/>
          <w:bCs/>
          <w:color w:val="000000" w:themeColor="text1"/>
          <w:sz w:val="24"/>
          <w14:textFill>
            <w14:solidFill>
              <w14:schemeClr w14:val="tx1"/>
            </w14:solidFill>
          </w14:textFill>
        </w:rPr>
      </w:pPr>
      <w:r>
        <w:rPr>
          <w:rFonts w:hint="eastAsia" w:ascii="黑体" w:hAnsi="黑体" w:eastAsia="黑体"/>
          <w:bCs/>
          <w:color w:val="000000" w:themeColor="text1"/>
          <w:sz w:val="24"/>
          <w14:textFill>
            <w14:solidFill>
              <w14:schemeClr w14:val="tx1"/>
            </w14:solidFill>
          </w14:textFill>
        </w:rPr>
        <w:t>1.5  主要创新点</w:t>
      </w:r>
    </w:p>
    <w:p>
      <w:pPr>
        <w:spacing w:line="360" w:lineRule="auto"/>
        <w:rPr>
          <w:bCs/>
          <w:sz w:val="24"/>
        </w:rPr>
      </w:pPr>
      <w:r>
        <w:rPr>
          <w:rFonts w:hint="eastAsia"/>
          <w:bCs/>
          <w:sz w:val="24"/>
        </w:rPr>
        <w:t>1.5.1  研究视角的创新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以华东地区的财政体制和教育体制为切入点，具体以华东地区六省一市2002至2016年的财政教育支出数据为研究对象，重点研究华东地区的财政教育支出规模差异和影响因素。从我国较发达的华东地区着手，通过实证研究这些因素的作用，有一定的新颖性。</w:t>
      </w:r>
    </w:p>
    <w:p>
      <w:pPr>
        <w:spacing w:line="360" w:lineRule="auto"/>
        <w:rPr>
          <w:bCs/>
          <w:sz w:val="24"/>
        </w:rPr>
      </w:pPr>
      <w:r>
        <w:rPr>
          <w:rFonts w:hint="eastAsia"/>
          <w:bCs/>
          <w:sz w:val="24"/>
        </w:rPr>
        <w:t>1.5.2  研究方法的创新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通过对华东地区教育财政支出规模的统计分析，了解到华东地区教育和经济发展的现状。选取华东地区2002年至2016年财政教育支出的数据，将理论研究与实证研究结合起来，通过构建计量模型来探讨不同因素对华东地区财政教育支出规模差异的影响程度，具有一定的创新性。</w:t>
      </w:r>
    </w:p>
    <w:p>
      <w:pPr>
        <w:spacing w:before="379" w:beforeLines="100" w:after="379" w:afterLines="100" w:line="360" w:lineRule="auto"/>
        <w:outlineLvl w:val="0"/>
        <w:rPr>
          <w:rFonts w:ascii="黑体" w:hAnsi="宋体" w:eastAsia="黑体"/>
          <w:bCs/>
          <w:color w:val="000000" w:themeColor="text1"/>
          <w:sz w:val="28"/>
          <w14:textFill>
            <w14:solidFill>
              <w14:schemeClr w14:val="tx1"/>
            </w14:solidFill>
          </w14:textFill>
        </w:rPr>
      </w:pPr>
      <w:bookmarkStart w:id="5" w:name="_Toc515369600"/>
      <w:r>
        <w:rPr>
          <w:rFonts w:hint="eastAsia" w:ascii="黑体" w:hAnsi="宋体" w:eastAsia="黑体"/>
          <w:bCs/>
          <w:color w:val="000000" w:themeColor="text1"/>
          <w:sz w:val="28"/>
          <w14:textFill>
            <w14:solidFill>
              <w14:schemeClr w14:val="tx1"/>
            </w14:solidFill>
          </w14:textFill>
        </w:rPr>
        <w:t>2  华东地区财政教育支出规模及其差异</w:t>
      </w:r>
      <w:bookmarkEnd w:id="5"/>
    </w:p>
    <w:p>
      <w:pPr>
        <w:spacing w:line="360" w:lineRule="auto"/>
        <w:outlineLvl w:val="1"/>
        <w:rPr>
          <w:rFonts w:ascii="黑体" w:hAnsi="黑体" w:eastAsia="黑体"/>
          <w:bCs/>
          <w:color w:val="000000" w:themeColor="text1"/>
          <w:sz w:val="24"/>
          <w14:textFill>
            <w14:solidFill>
              <w14:schemeClr w14:val="tx1"/>
            </w14:solidFill>
          </w14:textFill>
        </w:rPr>
      </w:pPr>
      <w:bookmarkStart w:id="6" w:name="_Toc515369601"/>
      <w:r>
        <w:rPr>
          <w:rFonts w:hint="eastAsia" w:ascii="黑体" w:hAnsi="黑体" w:eastAsia="黑体"/>
          <w:bCs/>
          <w:color w:val="000000" w:themeColor="text1"/>
          <w:sz w:val="24"/>
          <w14:textFill>
            <w14:solidFill>
              <w14:schemeClr w14:val="tx1"/>
            </w14:solidFill>
          </w14:textFill>
        </w:rPr>
        <w:t>2.1  华东地区财政教育支出规模</w:t>
      </w:r>
      <w:bookmarkEnd w:id="6"/>
      <w:r>
        <w:rPr>
          <w:rFonts w:hint="eastAsia" w:ascii="黑体" w:hAnsi="黑体" w:eastAsia="黑体"/>
          <w:bCs/>
          <w:color w:val="000000" w:themeColor="text1"/>
          <w:sz w:val="24"/>
          <w14:textFill>
            <w14:solidFill>
              <w14:schemeClr w14:val="tx1"/>
            </w14:solidFill>
          </w14:textFill>
        </w:rPr>
        <w:t>的现状</w:t>
      </w:r>
    </w:p>
    <w:p>
      <w:pPr>
        <w:spacing w:line="360" w:lineRule="auto"/>
        <w:rPr>
          <w:bCs/>
          <w:sz w:val="24"/>
        </w:rPr>
      </w:pPr>
      <w:r>
        <w:rPr>
          <w:rFonts w:hint="eastAsia"/>
          <w:bCs/>
          <w:sz w:val="24"/>
        </w:rPr>
        <w:t>2.1.1  华东地区财政教育支出的总体规模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从财政教育支出的规模来看，华东地区的财政教育支出逐年增加，如图1所示，</w:t>
      </w:r>
      <w:r>
        <w:rPr>
          <w:rFonts w:hint="eastAsia"/>
          <w:bCs/>
          <w:color w:val="000000" w:themeColor="text1"/>
          <w:sz w:val="24"/>
          <w14:textFill>
            <w14:solidFill>
              <w14:schemeClr w14:val="tx1"/>
            </w14:solidFill>
          </w14:textFill>
        </w:rPr>
        <w:t>2002年为795.40亿元，2004年超过1000亿元，2011年接近5000亿元，2016年达到8385.79亿元，突破了8000亿元大关，15年间增长了10.54倍。</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从财政教育支出的增长速度来看，虽然2002年至2016年华东地区的财政教育支出总量一直在增加，但每年增加的量是不同的，财政教育支出的年增长速度波动较大。2013 年、2014 年以及 2016 年的财政教育支出增速明显低于其它年份，相对于上一年仅增长5.73%、5.30%和6.12%，都低于10%，而2007 年的增长速度高达49.88%，2011年也达到33.13%。</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GDP的比重来看，2002年至2016年，华东地区这一比重始终在1.6%到3.0%之间，波动不大且总体呈上升趋势，2012年占比最大为2.92%，比2005年的最低值多1.28个百分点，2016年为2.86%，比2002年多1.09个百分点。</w:t>
      </w:r>
    </w:p>
    <w:p>
      <w:pPr>
        <w:spacing w:after="379" w:afterLines="100"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华东地区财政教育支出占财政支出的比重处在较高水平，2012年这一比重达到最高值19.74%，比2006年的最低值高4.37个百分点，2016年达到17.77%，比2002年高0.21个百分点。</w:t>
      </w:r>
    </w:p>
    <w:p>
      <w:pPr>
        <w:spacing w:line="360" w:lineRule="auto"/>
        <w:jc w:val="left"/>
        <w:rPr>
          <w:bCs/>
          <w:color w:val="000000" w:themeColor="text1"/>
          <w:sz w:val="24"/>
          <w14:textFill>
            <w14:solidFill>
              <w14:schemeClr w14:val="tx1"/>
            </w14:solidFill>
          </w14:textFill>
        </w:rPr>
      </w:pPr>
      <w:r>
        <w:drawing>
          <wp:inline distT="0" distB="0" distL="0" distR="0">
            <wp:extent cx="5579745" cy="2699385"/>
            <wp:effectExtent l="0" t="0" r="1905" b="57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图1 华东地区财政教育支出的总体规模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2.1.2  上海市的财政教育支出规模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从财政教育支出的规模来看，上海市的财政教育支出不断增加，如图2所示，</w:t>
      </w:r>
      <w:r>
        <w:rPr>
          <w:rFonts w:hint="eastAsia"/>
          <w:bCs/>
          <w:color w:val="000000" w:themeColor="text1"/>
          <w:sz w:val="24"/>
          <w14:textFill>
            <w14:solidFill>
              <w14:schemeClr w14:val="tx1"/>
            </w14:solidFill>
          </w14:textFill>
        </w:rPr>
        <w:t>由2002年的116.07亿元增长到2016年的840.97亿元，15年间增长了7倍多。</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上海市的财政教育支出前期增长较慢，增长速度在2007年显著上升到最高值37.90%，两年后迅速回落为6.41%，随后又大幅度上升，自2011年开始一路下降至2014年的最低值2.37%，近两年有所回升，2016年为9.60%。</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从财政教育支出占GDP的比重来看，上海市的财政教育支出在GDP中的占比总体呈上升趋势，除在2004年达到最低值1.92%外，其余年份增长较快，2012年达到最高值3.22%，2016年为2.98%，比2002年多0.96个百分点。</w:t>
      </w:r>
    </w:p>
    <w:p>
      <w:pPr>
        <w:spacing w:after="379" w:afterLines="100"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上海市的财政教育支出在财政支出中所占比例较大，在2005年达到最低值11.11%，在2012年达到最高值15.51%，2016年为12.15%，虽比2002年低了1.31个百分点，但相对于2003至2006年而言还是有所上升。</w:t>
      </w:r>
    </w:p>
    <w:p>
      <w:pPr>
        <w:spacing w:line="360" w:lineRule="auto"/>
        <w:jc w:val="center"/>
        <w:rPr>
          <w:bCs/>
          <w:color w:val="000000" w:themeColor="text1"/>
          <w:sz w:val="24"/>
          <w14:textFill>
            <w14:solidFill>
              <w14:schemeClr w14:val="tx1"/>
            </w14:solidFill>
          </w14:textFill>
        </w:rPr>
      </w:pPr>
      <w:r>
        <w:drawing>
          <wp:inline distT="0" distB="0" distL="0" distR="0">
            <wp:extent cx="5579745" cy="2699385"/>
            <wp:effectExtent l="0" t="0" r="1905"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图2 上海市财政教育支出的总体规模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2.1.3  江苏省的财政教育支出规模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从财政教育支出的规模来看，江苏省的财政教育支出逐年增加，如图3所示，</w:t>
      </w:r>
      <w:r>
        <w:rPr>
          <w:rFonts w:hint="eastAsia"/>
          <w:bCs/>
          <w:color w:val="000000" w:themeColor="text1"/>
          <w:sz w:val="24"/>
          <w14:textFill>
            <w14:solidFill>
              <w14:schemeClr w14:val="tx1"/>
            </w14:solidFill>
          </w14:textFill>
        </w:rPr>
        <w:t>由2002年的162.41亿元增长到2011年的1093.22亿元，突破1000亿元，在2016年达到1842.94亿元，15年间增长了11.35倍。</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从财政教育支出的增长速度来看，2007年江苏省的财政教育支出增速明显高于其它年份，相对于上一年增长了65.28%；而2013、2014、2016年的增长速度仅在6%左右，相对于2002年的12.31%，有所降低。</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从财政教育支出占GDP的比重来看，江苏省的财政教育支出在GDP中的占比总体呈上升趋势，2006年达到最低值1.37%，比2012年的最高值低1.13个百分点，2016年为2.38%，比2002年多0.85个百分点。</w:t>
      </w:r>
    </w:p>
    <w:p>
      <w:pPr>
        <w:spacing w:after="379" w:afterLines="100"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江苏省的财政教育支出在财政支出中所占比例较大，在2006年达到最低值14.81%，2007年上升到最高值19.30%，2016年为18.46%，虽比2002年低了0.42个百分点，但相对于2003至2006年而言还是有所上升。</w:t>
      </w:r>
    </w:p>
    <w:p>
      <w:pPr>
        <w:spacing w:line="360" w:lineRule="auto"/>
        <w:rPr>
          <w:bCs/>
          <w:color w:val="000000" w:themeColor="text1"/>
          <w:sz w:val="24"/>
          <w14:textFill>
            <w14:solidFill>
              <w14:schemeClr w14:val="tx1"/>
            </w14:solidFill>
          </w14:textFill>
        </w:rPr>
      </w:pPr>
      <w:r>
        <w:drawing>
          <wp:inline distT="0" distB="0" distL="0" distR="0">
            <wp:extent cx="5579745" cy="2699385"/>
            <wp:effectExtent l="0" t="0" r="1905" b="571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图3 江苏省财政教育支出的总体规模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2.1.4  浙江省的财政教育支出规模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从财政教育支出的规模来看，浙江省的财政教育支出逐年增加，如图4所示</w:t>
      </w:r>
      <w:r>
        <w:rPr>
          <w:rFonts w:hint="eastAsia"/>
          <w:bCs/>
          <w:color w:val="000000" w:themeColor="text1"/>
          <w:sz w:val="24"/>
          <w14:textFill>
            <w14:solidFill>
              <w14:schemeClr w14:val="tx1"/>
            </w14:solidFill>
          </w14:textFill>
        </w:rPr>
        <w:t>，2002年仅为136.94亿元，2014年突破1000亿元，达到1030.99亿元，2016年为1300.03亿元，15年间增长了9.5倍。</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2007年浙江省的财政教育支出增速明显高于其它年份，相对于上一年增长了42.69%；而2013、2014年的增长速度在8%左右；2016年的增速仅为2.77%，相对于2002年的26.45%降低了23.68个百分点。</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从财政教育支出占GDP的比重来看，浙江省的财政教育支出在GDP中的占比总体呈上升趋势，2015年达到最高值2.95%，比2013年的最低值高1.26个百分点，2016年为2.75%，比2002年多1.04个百分点。</w:t>
      </w:r>
    </w:p>
    <w:p>
      <w:pPr>
        <w:spacing w:after="379" w:afterLines="100"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从财政教育支出占财政支出的比重来看，2002年至2016年，浙江省的财政教育支出在财政支出中所占比例较大，2002年达到最低值18.26%，2007年上升到最高值21.25%，2016年为18.64%，相对于2002年上升了0.38个百分点。</w:t>
      </w:r>
    </w:p>
    <w:p>
      <w:pPr>
        <w:spacing w:line="360" w:lineRule="auto"/>
        <w:jc w:val="left"/>
        <w:rPr>
          <w:bCs/>
          <w:color w:val="000000" w:themeColor="text1"/>
          <w:kern w:val="0"/>
          <w:szCs w:val="21"/>
          <w14:textFill>
            <w14:solidFill>
              <w14:schemeClr w14:val="tx1"/>
            </w14:solidFill>
          </w14:textFill>
        </w:rPr>
      </w:pPr>
      <w:r>
        <w:drawing>
          <wp:inline distT="0" distB="0" distL="0" distR="0">
            <wp:extent cx="5579745" cy="2699385"/>
            <wp:effectExtent l="0" t="0" r="1905" b="571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图4 浙江省财政教育支出的总体规模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2.1.5  安徽省的财政教育支出规模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从财政教育支出的规模来看，安徽省的财政教育支出逐年增加，如图5所示，</w:t>
      </w:r>
      <w:r>
        <w:rPr>
          <w:rFonts w:hint="eastAsia"/>
          <w:bCs/>
          <w:color w:val="000000" w:themeColor="text1"/>
          <w:sz w:val="24"/>
          <w14:textFill>
            <w14:solidFill>
              <w14:schemeClr w14:val="tx1"/>
            </w14:solidFill>
          </w14:textFill>
        </w:rPr>
        <w:t>从2002年的76.91亿元增长到2016年的910.87亿元，有望在2017年突破1000亿元，15年间这一支出增长了11.84倍。</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2007、2011年安徽省的财政教育支出增速明显高于其它年份，相对于上一年分别增长了40.03%、46.18%；而2014年的财政教育支出相对于上一年仅增长0.88%；2016年的增速仅为6.32%，相比于2002年的15.35%降低了9.03个百分点。</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从财政教育支出占GDP的比重来看，安徽省的财政教育支出在GDP中的占比总体呈上升趋势，2012年达到最高值4.17%，比2003年的最低值高2.01个百分点，2016年为3.73%，比2002年多1.55个百分点。</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从财政教育支出占财政支出的比重来看，2002年至2016年，安徽省的财政教育支出在财政支出中所占比例较大，2010年达到最低值14.93%，2012年上升到最高值18.13%，2016年为16.49%，相对于2002年下降了0.34个百分点。</w:t>
      </w:r>
    </w:p>
    <w:p>
      <w:pPr>
        <w:spacing w:before="379" w:beforeLines="100" w:line="360" w:lineRule="auto"/>
        <w:rPr>
          <w:bCs/>
          <w:color w:val="000000" w:themeColor="text1"/>
          <w:sz w:val="24"/>
          <w14:textFill>
            <w14:solidFill>
              <w14:schemeClr w14:val="tx1"/>
            </w14:solidFill>
          </w14:textFill>
        </w:rPr>
      </w:pPr>
      <w:r>
        <w:drawing>
          <wp:inline distT="0" distB="0" distL="0" distR="0">
            <wp:extent cx="5579745" cy="2699385"/>
            <wp:effectExtent l="0" t="0" r="1905" b="571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图5 安徽省财政教育支出的总体规模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：根据2002-2017 年中国统计年鉴相关数据计算而得。</w:t>
      </w:r>
    </w:p>
    <w:p>
      <w:pPr>
        <w:spacing w:line="360" w:lineRule="auto"/>
        <w:rPr>
          <w:bCs/>
          <w:sz w:val="24"/>
        </w:rPr>
      </w:pPr>
      <w:r>
        <w:rPr>
          <w:rFonts w:hint="eastAsia"/>
          <w:bCs/>
          <w:sz w:val="24"/>
        </w:rPr>
        <w:t>2.1.6  福建省的财政教育支出规模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从财政教育支出的规模来看，福建省的财政教育支出逐年增加，如图6所示，</w:t>
      </w:r>
      <w:r>
        <w:rPr>
          <w:rFonts w:hint="eastAsia"/>
          <w:bCs/>
          <w:color w:val="000000" w:themeColor="text1"/>
          <w:sz w:val="24"/>
          <w14:textFill>
            <w14:solidFill>
              <w14:schemeClr w14:val="tx1"/>
            </w14:solidFill>
          </w14:textFill>
        </w:rPr>
        <w:t>从2002年的81.08亿元增长到2016年的789.11亿元，有望在接下来的几年突破1000亿元，15年间这一支出增长了9.73倍。</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2007年、2012年福建省的财政教育支出增速明显高于其它年份，分别为34.80%、38.25%；而2013年的财政教育支出相对于上一年仅增长2.24%；2016年的增速为4.17%，相对于2002年的11.93%降低了7.76个百分点。从财政教育支出占GDP的比重来看，福建省的财政教育支出在GDP中的占比总体呈上升趋势，20125年达到最高值2.92%，比2005年的最低值高1.22个百分点，2016年为2.74%，比2002年多0.92个百分点。</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从财政教育支出占财政支出的比重来看，2002年至2016年，福建省的财政教育支出在财政支出中所占比例较大，2012年上升到最高值21.56%，2016年处在最低水平18.46%，相对于2002年下降了1.94个百分点。</w:t>
      </w:r>
    </w:p>
    <w:p>
      <w:pPr>
        <w:spacing w:before="379" w:beforeLines="100" w:line="360" w:lineRule="auto"/>
        <w:jc w:val="left"/>
        <w:rPr>
          <w:bCs/>
          <w:color w:val="000000" w:themeColor="text1"/>
          <w:sz w:val="24"/>
          <w14:textFill>
            <w14:solidFill>
              <w14:schemeClr w14:val="tx1"/>
            </w14:solidFill>
          </w14:textFill>
        </w:rPr>
      </w:pPr>
      <w:r>
        <w:drawing>
          <wp:inline distT="0" distB="0" distL="0" distR="0">
            <wp:extent cx="5579745" cy="2699385"/>
            <wp:effectExtent l="0" t="0" r="1905" b="571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图6 福建省财政教育支出的总体规模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color w:val="000000" w:themeColor="text1"/>
          <w:sz w:val="24"/>
          <w14:textFill>
            <w14:solidFill>
              <w14:schemeClr w14:val="tx1"/>
            </w14:solidFill>
          </w14:textFill>
        </w:rPr>
      </w:pPr>
      <w:r>
        <w:rPr>
          <w:rFonts w:hint="eastAsia"/>
          <w:bCs/>
          <w:sz w:val="24"/>
        </w:rPr>
        <w:t>2.1.7  江西省的财政教育支出规模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从财政教育支出的规模来看，江西省的财政教育支出逐年增加，如图7所示，</w:t>
      </w:r>
      <w:r>
        <w:rPr>
          <w:rFonts w:hint="eastAsia"/>
          <w:bCs/>
          <w:color w:val="000000" w:themeColor="text1"/>
          <w:sz w:val="24"/>
          <w14:textFill>
            <w14:solidFill>
              <w14:schemeClr w14:val="tx1"/>
            </w14:solidFill>
          </w14:textFill>
        </w:rPr>
        <w:t>从2002年的59.22亿元增长到2016年的848.88亿元，有望突破1000亿元，15年间这一支出增长了14.34倍。</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2007年、2011年江西省的财政教育支出增速明显高于其它年份，分别为67.51%、59.47%；而2003、2013、2014、2016年的财政教育支出增速均低于10%；2016年的增速为7.01%，相对于2002年的22.26%降低了15.25个百分点。</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从财政教育支出占GDP的比重来看，江西省的财政教育支出在GDP中的占比总体呈上升趋势，2012年达到最高值4.80%，比2004年的最低值高2.67个百分点，2016年为4.59%，比2002年多2.17个百分点。</w:t>
      </w:r>
    </w:p>
    <w:p>
      <w:pPr>
        <w:spacing w:after="379" w:afterLines="100"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从财政教育支出占财政支出的比重来看，2002年至2016年，江西省的财政教育支出在财政支出中所占比例较大，2006年达到最低值14.90%，2012年上升到最高值20.60%，2016年为18.38%，相对于2002年上升了1.04个百分点。</w:t>
      </w:r>
    </w:p>
    <w:p>
      <w:pPr>
        <w:spacing w:line="360" w:lineRule="auto"/>
        <w:jc w:val="left"/>
        <w:rPr>
          <w:bCs/>
          <w:color w:val="000000" w:themeColor="text1"/>
          <w:sz w:val="24"/>
          <w14:textFill>
            <w14:solidFill>
              <w14:schemeClr w14:val="tx1"/>
            </w14:solidFill>
          </w14:textFill>
        </w:rPr>
      </w:pPr>
      <w:r>
        <w:drawing>
          <wp:inline distT="0" distB="0" distL="0" distR="0">
            <wp:extent cx="5581015" cy="2501265"/>
            <wp:effectExtent l="0" t="0" r="635"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图7 江西省财政教育支出的总体规模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2.1.8  山东省的财政教育支出规模</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从财政教育支出的规模来看，山东省的财政教育支出逐年增加，如图8所示，</w:t>
      </w:r>
      <w:r>
        <w:rPr>
          <w:rFonts w:hint="eastAsia"/>
          <w:bCs/>
          <w:color w:val="000000" w:themeColor="text1"/>
          <w:sz w:val="24"/>
          <w14:textFill>
            <w14:solidFill>
              <w14:schemeClr w14:val="tx1"/>
            </w14:solidFill>
          </w14:textFill>
        </w:rPr>
        <w:t>从2002年的162.78亿元增长到2011年的1047.96亿元，随后增长到2016年的1825.99亿元，有望在2017年突破2000亿元，15年间这一支出增长了11.22倍。</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的增长速度来看，2007年山东省的财政教育支出增速明显高于其它年份，相对于上一年增长了55.11%；而2013、2014年的财政教育支出增速仅为6%左右；2016年的增速为8.01%，相对于2002年的18.17%降低了10.16个百分点。</w:t>
      </w:r>
    </w:p>
    <w:p>
      <w:pPr>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GDP的比重来看，山东省的财政教育支出在GDP中的占比总体呈上升趋势，由2002年的1.58%上升到2016年的2.68%，上升了1.1个百分点；山东省的这一比重也在2016年达到最高值，比2006年的最低值高1.35个百分点。</w:t>
      </w:r>
    </w:p>
    <w:p>
      <w:pPr>
        <w:spacing w:after="379" w:afterLines="100"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财政教育支出占财政支出的比重来看，2002年至2016年，山东省的财政教育支出在财政支出中所占比例较大，在2006年达到最低值15.94%，随后上升到2012年的最高值22.22%，2016年为20.86%，相对于2002年上升了1.95个百分点。</w:t>
      </w:r>
    </w:p>
    <w:p>
      <w:pPr>
        <w:spacing w:line="360" w:lineRule="auto"/>
        <w:rPr>
          <w:bCs/>
          <w:color w:val="000000" w:themeColor="text1"/>
          <w:sz w:val="24"/>
          <w14:textFill>
            <w14:solidFill>
              <w14:schemeClr w14:val="tx1"/>
            </w14:solidFill>
          </w14:textFill>
        </w:rPr>
      </w:pPr>
      <w:r>
        <w:drawing>
          <wp:inline distT="0" distB="0" distL="0" distR="0">
            <wp:extent cx="5579745" cy="2700020"/>
            <wp:effectExtent l="0" t="0" r="1905" b="508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图8 山东省财政教育支出的总体规模</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after="379" w:afterLines="100" w:line="360" w:lineRule="auto"/>
        <w:ind w:firstLine="420" w:firstLineChars="200"/>
        <w:jc w:val="center"/>
        <w:rPr>
          <w:bCs/>
          <w:color w:val="000000" w:themeColor="text1"/>
          <w:szCs w:val="21"/>
          <w14:textFill>
            <w14:solidFill>
              <w14:schemeClr w14:val="tx1"/>
            </w14:solidFill>
          </w14:textFill>
        </w:rPr>
      </w:pPr>
    </w:p>
    <w:p>
      <w:pPr>
        <w:spacing w:line="360" w:lineRule="auto"/>
        <w:outlineLvl w:val="1"/>
        <w:rPr>
          <w:rFonts w:ascii="黑体" w:hAnsi="黑体" w:eastAsia="黑体"/>
          <w:bCs/>
          <w:color w:val="000000" w:themeColor="text1"/>
          <w:sz w:val="24"/>
          <w14:textFill>
            <w14:solidFill>
              <w14:schemeClr w14:val="tx1"/>
            </w14:solidFill>
          </w14:textFill>
        </w:rPr>
      </w:pPr>
      <w:bookmarkStart w:id="7" w:name="_Toc515369602"/>
      <w:r>
        <w:rPr>
          <w:rFonts w:hint="eastAsia" w:ascii="黑体" w:hAnsi="黑体" w:eastAsia="黑体"/>
          <w:bCs/>
          <w:color w:val="000000" w:themeColor="text1"/>
          <w:sz w:val="24"/>
          <w14:textFill>
            <w14:solidFill>
              <w14:schemeClr w14:val="tx1"/>
            </w14:solidFill>
          </w14:textFill>
        </w:rPr>
        <w:t>2.2  华东地区财政教育支出规模的差异</w:t>
      </w:r>
      <w:bookmarkEnd w:id="7"/>
    </w:p>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2.2.1  华东地区财政教育支出的差异</w:t>
      </w:r>
    </w:p>
    <w:p>
      <w:pPr>
        <w:spacing w:after="379" w:afterLines="100"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在华东地区六省一市中，江苏省、浙江省、山东省的财政教育支出规模较大，安徽省、福建省、江西省的规模较小。如图9所示，</w:t>
      </w:r>
      <w:r>
        <w:rPr>
          <w:rFonts w:hint="eastAsia"/>
          <w:bCs/>
          <w:color w:val="000000" w:themeColor="text1"/>
          <w:sz w:val="24"/>
          <w14:textFill>
            <w14:solidFill>
              <w14:schemeClr w14:val="tx1"/>
            </w14:solidFill>
          </w14:textFill>
        </w:rPr>
        <w:t>2002年至2004年，山东省的财政教育支出最多，江西省的最少。从表1可知，</w:t>
      </w:r>
      <w:r>
        <w:rPr>
          <w:rFonts w:hint="eastAsia"/>
          <w:bCs/>
          <w:color w:val="000000" w:themeColor="text1"/>
          <w:sz w:val="24"/>
          <w14:textFill>
            <w14:solidFill>
              <w14:schemeClr w14:val="tx1"/>
            </w14:solidFill>
          </w14:textFill>
        </w:rPr>
        <w:t>两省在2002年的财政教育支出分别为162.78亿元、59.22亿元，相差103.56亿元；2004年至2010年，江苏省的财政教育支出变为最多，江西省仍支出最少，两省在2010年的支出分别为865.36亿元、295.50亿元，相差569.86亿元；2011年至2016年，财政教育支出最多的仍是江苏省，支出最少的变为福建省，两省在2016年的支出分别为1842.94亿元、789.11亿元，相差1053.83亿元。从2002年到2016年，华东各地区间财政教育支出的差异也在不断增大，最高支出与最低支出间的差额由2002年的103.56亿元扩大为2016年的1053.83亿元，增长了10.18倍。</w:t>
      </w:r>
    </w:p>
    <w:p>
      <w:pPr>
        <w:spacing w:line="360" w:lineRule="auto"/>
        <w:jc w:val="left"/>
        <w:rPr>
          <w:bCs/>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5579745" cy="2699385"/>
            <wp:effectExtent l="0" t="0" r="1905" b="571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图9 华东各地区的财政教育支出</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tbl>
      <w:tblPr>
        <w:tblStyle w:val="13"/>
        <w:tblW w:w="8946" w:type="dxa"/>
        <w:tblInd w:w="0" w:type="dxa"/>
        <w:tblLayout w:type="fixed"/>
        <w:tblCellMar>
          <w:top w:w="0" w:type="dxa"/>
          <w:left w:w="108" w:type="dxa"/>
          <w:bottom w:w="0" w:type="dxa"/>
          <w:right w:w="108" w:type="dxa"/>
        </w:tblCellMar>
      </w:tblPr>
      <w:tblGrid>
        <w:gridCol w:w="731"/>
        <w:gridCol w:w="976"/>
        <w:gridCol w:w="1032"/>
        <w:gridCol w:w="1032"/>
        <w:gridCol w:w="975"/>
        <w:gridCol w:w="975"/>
        <w:gridCol w:w="975"/>
        <w:gridCol w:w="1032"/>
        <w:gridCol w:w="1218"/>
      </w:tblGrid>
      <w:tr>
        <w:tblPrEx>
          <w:tblLayout w:type="fixed"/>
          <w:tblCellMar>
            <w:top w:w="0" w:type="dxa"/>
            <w:left w:w="108" w:type="dxa"/>
            <w:bottom w:w="0" w:type="dxa"/>
            <w:right w:w="108" w:type="dxa"/>
          </w:tblCellMar>
        </w:tblPrEx>
        <w:trPr>
          <w:trHeight w:val="270" w:hRule="atLeast"/>
        </w:trPr>
        <w:tc>
          <w:tcPr>
            <w:tcW w:w="8946" w:type="dxa"/>
            <w:gridSpan w:val="9"/>
            <w:tcBorders>
              <w:top w:val="nil"/>
              <w:left w:val="nil"/>
              <w:bottom w:val="single" w:color="auto" w:sz="8" w:space="0"/>
              <w:right w:val="nil"/>
            </w:tcBorders>
            <w:shd w:val="clear" w:color="auto" w:fill="auto"/>
            <w:vAlign w:val="center"/>
          </w:tcPr>
          <w:p>
            <w:pPr>
              <w:spacing w:line="360" w:lineRule="auto"/>
              <w:ind w:firstLine="420" w:firstLineChars="200"/>
              <w:jc w:val="center"/>
              <w:rPr>
                <w:rFonts w:ascii="宋体" w:hAnsi="宋体" w:cs="宋体"/>
                <w:color w:val="000000" w:themeColor="text1"/>
                <w:kern w:val="0"/>
                <w:sz w:val="22"/>
                <w14:textFill>
                  <w14:solidFill>
                    <w14:schemeClr w14:val="tx1"/>
                  </w14:solidFill>
                </w14:textFill>
              </w:rPr>
            </w:pPr>
            <w:r>
              <w:rPr>
                <w:bCs/>
                <w:color w:val="000000" w:themeColor="text1"/>
                <w:szCs w:val="21"/>
                <w14:textFill>
                  <w14:solidFill>
                    <w14:schemeClr w14:val="tx1"/>
                  </w14:solidFill>
                </w14:textFill>
              </w:rPr>
              <w:t>表1</w:t>
            </w:r>
            <w:r>
              <w:rPr>
                <w:rFonts w:hint="eastAsia"/>
                <w:bCs/>
                <w:color w:val="000000" w:themeColor="text1"/>
                <w:szCs w:val="21"/>
                <w14:textFill>
                  <w14:solidFill>
                    <w14:schemeClr w14:val="tx1"/>
                  </w14:solidFill>
                </w14:textFill>
              </w:rPr>
              <w:t xml:space="preserve">  华东地区2002-2016年财政教育支出（亿元）</w:t>
            </w:r>
          </w:p>
        </w:tc>
      </w:tr>
      <w:tr>
        <w:tblPrEx>
          <w:tblLayout w:type="fixed"/>
          <w:tblCellMar>
            <w:top w:w="0" w:type="dxa"/>
            <w:left w:w="108" w:type="dxa"/>
            <w:bottom w:w="0" w:type="dxa"/>
            <w:right w:w="108" w:type="dxa"/>
          </w:tblCellMar>
        </w:tblPrEx>
        <w:trPr>
          <w:trHeight w:val="270" w:hRule="atLeast"/>
        </w:trPr>
        <w:tc>
          <w:tcPr>
            <w:tcW w:w="731"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w:t>
            </w:r>
          </w:p>
        </w:tc>
        <w:tc>
          <w:tcPr>
            <w:tcW w:w="976"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上海市</w:t>
            </w:r>
          </w:p>
        </w:tc>
        <w:tc>
          <w:tcPr>
            <w:tcW w:w="1032"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江苏省</w:t>
            </w:r>
          </w:p>
        </w:tc>
        <w:tc>
          <w:tcPr>
            <w:tcW w:w="1032"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浙江省</w:t>
            </w:r>
          </w:p>
        </w:tc>
        <w:tc>
          <w:tcPr>
            <w:tcW w:w="975"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安徽省</w:t>
            </w:r>
          </w:p>
        </w:tc>
        <w:tc>
          <w:tcPr>
            <w:tcW w:w="975"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福建省</w:t>
            </w:r>
          </w:p>
        </w:tc>
        <w:tc>
          <w:tcPr>
            <w:tcW w:w="975"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江西省</w:t>
            </w:r>
          </w:p>
        </w:tc>
        <w:tc>
          <w:tcPr>
            <w:tcW w:w="1032"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山东省</w:t>
            </w:r>
          </w:p>
        </w:tc>
        <w:tc>
          <w:tcPr>
            <w:tcW w:w="121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华东地区</w:t>
            </w:r>
          </w:p>
        </w:tc>
      </w:tr>
      <w:tr>
        <w:tblPrEx>
          <w:tblLayout w:type="fixed"/>
          <w:tblCellMar>
            <w:top w:w="0" w:type="dxa"/>
            <w:left w:w="108" w:type="dxa"/>
            <w:bottom w:w="0" w:type="dxa"/>
            <w:right w:w="108" w:type="dxa"/>
          </w:tblCellMar>
        </w:tblPrEx>
        <w:trPr>
          <w:trHeight w:val="270" w:hRule="atLeast"/>
        </w:trPr>
        <w:tc>
          <w:tcPr>
            <w:tcW w:w="731"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2002</w:t>
            </w:r>
          </w:p>
        </w:tc>
        <w:tc>
          <w:tcPr>
            <w:tcW w:w="976"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116.07 </w:t>
            </w:r>
          </w:p>
        </w:tc>
        <w:tc>
          <w:tcPr>
            <w:tcW w:w="1032"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162.41 </w:t>
            </w:r>
          </w:p>
        </w:tc>
        <w:tc>
          <w:tcPr>
            <w:tcW w:w="1032"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136.94 </w:t>
            </w:r>
          </w:p>
        </w:tc>
        <w:tc>
          <w:tcPr>
            <w:tcW w:w="975"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76.91 </w:t>
            </w:r>
          </w:p>
        </w:tc>
        <w:tc>
          <w:tcPr>
            <w:tcW w:w="975"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81.08 </w:t>
            </w:r>
          </w:p>
        </w:tc>
        <w:tc>
          <w:tcPr>
            <w:tcW w:w="975"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59.22 </w:t>
            </w:r>
          </w:p>
        </w:tc>
        <w:tc>
          <w:tcPr>
            <w:tcW w:w="1032"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162.78 </w:t>
            </w:r>
          </w:p>
        </w:tc>
        <w:tc>
          <w:tcPr>
            <w:tcW w:w="121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795.40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2003</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131.37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179.08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164.21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84.56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92.97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64.47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179.15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895.80 </w:t>
            </w:r>
          </w:p>
        </w:tc>
      </w:tr>
      <w:tr>
        <w:tblPrEx>
          <w:tblLayout w:type="fixed"/>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2004</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155.35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214.37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200.08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105.56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100.90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73.71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204.83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1054.80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2005</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182.94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258.24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231.55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117.43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111.51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87.93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248.75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1238.35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2006</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205.46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298.23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269.04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152.09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136.24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103.76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292.28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1457.10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2007</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283.33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492.90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383.89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212.97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183.66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173.81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453.36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2183.91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2008</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326.06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592.60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453.99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286.26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233.29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206.86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550.99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2650.05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2009</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346.95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680.63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519.33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323.79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277.55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251.93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613.49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3013.67 </w:t>
            </w:r>
          </w:p>
        </w:tc>
      </w:tr>
      <w:tr>
        <w:tblPrEx>
          <w:tblLayout w:type="fixed"/>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2010</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417.28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865.36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606.54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386.31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327.77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297.50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770.45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3671.20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2011</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549.24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1093.22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751.42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564.71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406.73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474.43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1047.90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4887.65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2012</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648.95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1350.61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877.86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717.94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562.30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622.06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1311.80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6091.52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2013</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679.54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1434.99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950.07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736.59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574.91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664.53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1399.67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6440.29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2014</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695.63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1504.86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1030.99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743.07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634.60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711.72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1461.06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6781.93 </w:t>
            </w:r>
          </w:p>
        </w:tc>
      </w:tr>
      <w:tr>
        <w:tblPrEx>
          <w:tblLayout w:type="fixed"/>
          <w:tblCellMar>
            <w:top w:w="0" w:type="dxa"/>
            <w:left w:w="108" w:type="dxa"/>
            <w:bottom w:w="0" w:type="dxa"/>
            <w:right w:w="108" w:type="dxa"/>
          </w:tblCellMar>
        </w:tblPrEx>
        <w:trPr>
          <w:trHeight w:val="270" w:hRule="atLeast"/>
        </w:trPr>
        <w:tc>
          <w:tcPr>
            <w:tcW w:w="73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2015</w:t>
            </w:r>
          </w:p>
        </w:tc>
        <w:tc>
          <w:tcPr>
            <w:tcW w:w="97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767.32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1746.22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1264.93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856.73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757.51 </w:t>
            </w:r>
          </w:p>
        </w:tc>
        <w:tc>
          <w:tcPr>
            <w:tcW w:w="97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793.27 </w:t>
            </w:r>
          </w:p>
        </w:tc>
        <w:tc>
          <w:tcPr>
            <w:tcW w:w="103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1690.62 </w:t>
            </w:r>
          </w:p>
        </w:tc>
        <w:tc>
          <w:tcPr>
            <w:tcW w:w="121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7876.60 </w:t>
            </w:r>
          </w:p>
        </w:tc>
      </w:tr>
      <w:tr>
        <w:tblPrEx>
          <w:tblLayout w:type="fixed"/>
        </w:tblPrEx>
        <w:trPr>
          <w:trHeight w:val="270" w:hRule="atLeast"/>
        </w:trPr>
        <w:tc>
          <w:tcPr>
            <w:tcW w:w="73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2016</w:t>
            </w:r>
          </w:p>
        </w:tc>
        <w:tc>
          <w:tcPr>
            <w:tcW w:w="976"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840.97 </w:t>
            </w:r>
          </w:p>
        </w:tc>
        <w:tc>
          <w:tcPr>
            <w:tcW w:w="1032"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1842.94 </w:t>
            </w:r>
          </w:p>
        </w:tc>
        <w:tc>
          <w:tcPr>
            <w:tcW w:w="1032"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1300.03 </w:t>
            </w:r>
          </w:p>
        </w:tc>
        <w:tc>
          <w:tcPr>
            <w:tcW w:w="975"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910.87 </w:t>
            </w:r>
          </w:p>
        </w:tc>
        <w:tc>
          <w:tcPr>
            <w:tcW w:w="975"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789.11 </w:t>
            </w:r>
          </w:p>
        </w:tc>
        <w:tc>
          <w:tcPr>
            <w:tcW w:w="975"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848.88 </w:t>
            </w:r>
          </w:p>
        </w:tc>
        <w:tc>
          <w:tcPr>
            <w:tcW w:w="1032"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1825.99 </w:t>
            </w:r>
          </w:p>
        </w:tc>
        <w:tc>
          <w:tcPr>
            <w:tcW w:w="121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8358.79 </w:t>
            </w:r>
          </w:p>
        </w:tc>
      </w:tr>
    </w:tbl>
    <w:p>
      <w:pPr>
        <w:spacing w:after="379" w:afterLines="100"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2.2.2  华东地区财政教育支出增长速度的差异</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在华东地区六省一市中，江苏省、江西省、山东省的财政教育支出增长速度变化幅度较大，从表2可知，</w:t>
      </w:r>
      <w:r>
        <w:rPr>
          <w:rFonts w:hint="eastAsia"/>
          <w:bCs/>
          <w:color w:val="000000" w:themeColor="text1"/>
          <w:sz w:val="24"/>
          <w14:textFill>
            <w14:solidFill>
              <w14:schemeClr w14:val="tx1"/>
            </w14:solidFill>
          </w14:textFill>
        </w:rPr>
        <w:t>2002年至2016年，这三个省份增速最高值与最低值的差额分别为60.41%、60.68%、50.72%；上海市、浙江省、安徽省、福建省的变化幅度相对较小，差额分别为35.53%、39.91%、45.3%、36.01%。如图10所示，</w:t>
      </w:r>
      <w:r>
        <w:rPr>
          <w:rFonts w:hint="eastAsia"/>
          <w:bCs/>
          <w:color w:val="000000" w:themeColor="text1"/>
          <w:sz w:val="24"/>
          <w14:textFill>
            <w14:solidFill>
              <w14:schemeClr w14:val="tx1"/>
            </w14:solidFill>
          </w14:textFill>
        </w:rPr>
        <w:t>就各地区财政教育支出的增长速度而言，上海市、江苏省、安徽省、福建省的增速一般低于华东地区的平均水平，而浙江省、江西省、山东省普遍高于华东地区的平均增速。2016年，华东地区财政教育支出增长速度最低的是浙江省，为2.77%，增速最高的是上海市，为9.60%，两省相差6.86个百分点；2011年增速最低的是浙江省，为23.89%，最高的是江西省，为59.47%，相差35.59个百分点。</w:t>
      </w:r>
    </w:p>
    <w:tbl>
      <w:tblPr>
        <w:tblStyle w:val="13"/>
        <w:tblW w:w="8946" w:type="dxa"/>
        <w:tblInd w:w="0" w:type="dxa"/>
        <w:tblLayout w:type="fixed"/>
        <w:tblCellMar>
          <w:top w:w="0" w:type="dxa"/>
          <w:left w:w="108" w:type="dxa"/>
          <w:bottom w:w="0" w:type="dxa"/>
          <w:right w:w="108" w:type="dxa"/>
        </w:tblCellMar>
      </w:tblPr>
      <w:tblGrid>
        <w:gridCol w:w="8946"/>
      </w:tblGrid>
      <w:tr>
        <w:tblPrEx>
          <w:tblLayout w:type="fixed"/>
          <w:tblCellMar>
            <w:top w:w="0" w:type="dxa"/>
            <w:left w:w="108" w:type="dxa"/>
            <w:bottom w:w="0" w:type="dxa"/>
            <w:right w:w="108" w:type="dxa"/>
          </w:tblCellMar>
        </w:tblPrEx>
        <w:trPr>
          <w:trHeight w:val="270" w:hRule="atLeast"/>
        </w:trPr>
        <w:tc>
          <w:tcPr>
            <w:tcW w:w="8946" w:type="dxa"/>
            <w:tcBorders>
              <w:top w:val="nil"/>
              <w:left w:val="nil"/>
              <w:bottom w:val="nil"/>
              <w:right w:val="nil"/>
            </w:tcBorders>
            <w:shd w:val="clear" w:color="auto" w:fill="auto"/>
            <w:vAlign w:val="center"/>
          </w:tcPr>
          <w:p>
            <w:pPr>
              <w:spacing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表2</w:t>
            </w:r>
            <w:r>
              <w:rPr>
                <w:rFonts w:hint="eastAsia"/>
                <w:bCs/>
                <w:color w:val="000000" w:themeColor="text1"/>
                <w:szCs w:val="21"/>
                <w14:textFill>
                  <w14:solidFill>
                    <w14:schemeClr w14:val="tx1"/>
                  </w14:solidFill>
                </w14:textFill>
              </w:rPr>
              <w:t xml:space="preserve">  华东地区2002-2016年财政教育支出增长速度（%）</w:t>
            </w:r>
          </w:p>
          <w:tbl>
            <w:tblPr>
              <w:tblStyle w:val="13"/>
              <w:tblW w:w="8730" w:type="dxa"/>
              <w:tblInd w:w="0" w:type="dxa"/>
              <w:tblLayout w:type="fixed"/>
              <w:tblCellMar>
                <w:top w:w="0" w:type="dxa"/>
                <w:left w:w="108" w:type="dxa"/>
                <w:bottom w:w="0" w:type="dxa"/>
                <w:right w:w="108" w:type="dxa"/>
              </w:tblCellMar>
            </w:tblPr>
            <w:tblGrid>
              <w:gridCol w:w="725"/>
              <w:gridCol w:w="971"/>
              <w:gridCol w:w="971"/>
              <w:gridCol w:w="971"/>
              <w:gridCol w:w="971"/>
              <w:gridCol w:w="971"/>
              <w:gridCol w:w="971"/>
              <w:gridCol w:w="971"/>
              <w:gridCol w:w="1208"/>
            </w:tblGrid>
            <w:tr>
              <w:tblPrEx>
                <w:tblLayout w:type="fixed"/>
                <w:tblCellMar>
                  <w:top w:w="0" w:type="dxa"/>
                  <w:left w:w="108" w:type="dxa"/>
                  <w:bottom w:w="0" w:type="dxa"/>
                  <w:right w:w="108" w:type="dxa"/>
                </w:tblCellMar>
              </w:tblPrEx>
              <w:trPr>
                <w:trHeight w:val="270" w:hRule="atLeast"/>
              </w:trPr>
              <w:tc>
                <w:tcPr>
                  <w:tcW w:w="725"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w:t>
                  </w:r>
                </w:p>
              </w:tc>
              <w:tc>
                <w:tcPr>
                  <w:tcW w:w="971"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上海市</w:t>
                  </w:r>
                </w:p>
              </w:tc>
              <w:tc>
                <w:tcPr>
                  <w:tcW w:w="971"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江苏省</w:t>
                  </w:r>
                </w:p>
              </w:tc>
              <w:tc>
                <w:tcPr>
                  <w:tcW w:w="971"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浙江省</w:t>
                  </w:r>
                </w:p>
              </w:tc>
              <w:tc>
                <w:tcPr>
                  <w:tcW w:w="971"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安徽省</w:t>
                  </w:r>
                </w:p>
              </w:tc>
              <w:tc>
                <w:tcPr>
                  <w:tcW w:w="971"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福建省</w:t>
                  </w:r>
                </w:p>
              </w:tc>
              <w:tc>
                <w:tcPr>
                  <w:tcW w:w="971"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江西省</w:t>
                  </w:r>
                </w:p>
              </w:tc>
              <w:tc>
                <w:tcPr>
                  <w:tcW w:w="971"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山东省</w:t>
                  </w:r>
                </w:p>
              </w:tc>
              <w:tc>
                <w:tcPr>
                  <w:tcW w:w="1208" w:type="dxa"/>
                  <w:tcBorders>
                    <w:top w:val="single" w:color="auto" w:sz="6"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华东地区</w:t>
                  </w:r>
                </w:p>
              </w:tc>
            </w:tr>
            <w:tr>
              <w:tblPrEx>
                <w:tblLayout w:type="fixed"/>
                <w:tblCellMar>
                  <w:top w:w="0" w:type="dxa"/>
                  <w:left w:w="108" w:type="dxa"/>
                  <w:bottom w:w="0" w:type="dxa"/>
                  <w:right w:w="108" w:type="dxa"/>
                </w:tblCellMar>
              </w:tblPrEx>
              <w:trPr>
                <w:trHeight w:val="270" w:hRule="atLeast"/>
              </w:trPr>
              <w:tc>
                <w:tcPr>
                  <w:tcW w:w="725"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2002</w:t>
                  </w:r>
                </w:p>
              </w:tc>
              <w:tc>
                <w:tcPr>
                  <w:tcW w:w="971"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16.37 </w:t>
                  </w:r>
                </w:p>
              </w:tc>
              <w:tc>
                <w:tcPr>
                  <w:tcW w:w="971"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12.31 </w:t>
                  </w:r>
                </w:p>
              </w:tc>
              <w:tc>
                <w:tcPr>
                  <w:tcW w:w="971"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26.45 </w:t>
                  </w:r>
                </w:p>
              </w:tc>
              <w:tc>
                <w:tcPr>
                  <w:tcW w:w="971"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15.35 </w:t>
                  </w:r>
                </w:p>
              </w:tc>
              <w:tc>
                <w:tcPr>
                  <w:tcW w:w="971"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11.93 </w:t>
                  </w:r>
                </w:p>
              </w:tc>
              <w:tc>
                <w:tcPr>
                  <w:tcW w:w="971"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22.26 </w:t>
                  </w:r>
                </w:p>
              </w:tc>
              <w:tc>
                <w:tcPr>
                  <w:tcW w:w="971"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18.17 </w:t>
                  </w:r>
                </w:p>
              </w:tc>
              <w:tc>
                <w:tcPr>
                  <w:tcW w:w="1208" w:type="dxa"/>
                  <w:tcBorders>
                    <w:top w:val="single" w:color="auto" w:sz="4" w:space="0"/>
                    <w:left w:val="nil"/>
                    <w:bottom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17.32 </w:t>
                  </w:r>
                </w:p>
              </w:tc>
            </w:tr>
            <w:tr>
              <w:tblPrEx>
                <w:tblLayout w:type="fixed"/>
                <w:tblCellMar>
                  <w:top w:w="0" w:type="dxa"/>
                  <w:left w:w="108" w:type="dxa"/>
                  <w:bottom w:w="0" w:type="dxa"/>
                  <w:right w:w="108" w:type="dxa"/>
                </w:tblCellMar>
              </w:tblPrEx>
              <w:trPr>
                <w:trHeight w:val="270" w:hRule="atLeast"/>
              </w:trPr>
              <w:tc>
                <w:tcPr>
                  <w:tcW w:w="725"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2003</w:t>
                  </w:r>
                </w:p>
              </w:tc>
              <w:tc>
                <w:tcPr>
                  <w:tcW w:w="971"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13.19 </w:t>
                  </w:r>
                </w:p>
              </w:tc>
              <w:tc>
                <w:tcPr>
                  <w:tcW w:w="971"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10.26 </w:t>
                  </w:r>
                </w:p>
              </w:tc>
              <w:tc>
                <w:tcPr>
                  <w:tcW w:w="971"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19.91 </w:t>
                  </w:r>
                </w:p>
              </w:tc>
              <w:tc>
                <w:tcPr>
                  <w:tcW w:w="971"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9.94 </w:t>
                  </w:r>
                </w:p>
              </w:tc>
              <w:tc>
                <w:tcPr>
                  <w:tcW w:w="971"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14.66 </w:t>
                  </w:r>
                </w:p>
              </w:tc>
              <w:tc>
                <w:tcPr>
                  <w:tcW w:w="971"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8.87 </w:t>
                  </w:r>
                </w:p>
              </w:tc>
              <w:tc>
                <w:tcPr>
                  <w:tcW w:w="971"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10.06 </w:t>
                  </w:r>
                </w:p>
              </w:tc>
              <w:tc>
                <w:tcPr>
                  <w:tcW w:w="1208" w:type="dxa"/>
                  <w:tcBorders>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12.62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2004</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18.25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19.71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21.85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24.84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8.53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14.34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14.33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17.75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2005</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17.76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20.46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15.73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11.24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10.52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19.28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21.44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17.40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2006</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12.31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15.48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16.19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29.51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22.18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18.01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17.50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17.66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2007</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37.90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65.28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42.69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40.03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34.80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67.51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55.11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49.88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2008</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15.08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20.23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18.26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34.41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27.03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19.02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21.54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21.34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2009</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6.41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14.85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14.39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13.11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18.97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21.79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11.34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13.72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2010</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20.27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27.14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16.79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19.31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18.09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18.09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25.59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21.82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2011</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31.62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26.33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23.89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46.18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24.09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59.47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36.01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33.13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2012</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18.15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23.54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16.83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27.13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38.25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31.12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25.18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24.63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2013</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4.71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6.25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8.22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2.60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2.24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6.83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6.70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5.73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2014</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2.37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4.87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8.52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0.88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10.38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7.10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4.39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5.30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2015</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10.31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16.04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22.69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15.30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19.37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11.46 </w:t>
                  </w:r>
                </w:p>
              </w:tc>
              <w:tc>
                <w:tcPr>
                  <w:tcW w:w="971"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15.71 </w:t>
                  </w:r>
                </w:p>
              </w:tc>
              <w:tc>
                <w:tcPr>
                  <w:tcW w:w="120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16.14 </w:t>
                  </w:r>
                </w:p>
              </w:tc>
            </w:tr>
            <w:tr>
              <w:tblPrEx>
                <w:tblLayout w:type="fixed"/>
                <w:tblCellMar>
                  <w:top w:w="0" w:type="dxa"/>
                  <w:left w:w="108" w:type="dxa"/>
                  <w:bottom w:w="0" w:type="dxa"/>
                  <w:right w:w="108" w:type="dxa"/>
                </w:tblCellMar>
              </w:tblPrEx>
              <w:trPr>
                <w:trHeight w:val="270" w:hRule="atLeast"/>
              </w:trPr>
              <w:tc>
                <w:tcPr>
                  <w:tcW w:w="725"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2016</w:t>
                  </w:r>
                </w:p>
              </w:tc>
              <w:tc>
                <w:tcPr>
                  <w:tcW w:w="97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9.60 </w:t>
                  </w:r>
                </w:p>
              </w:tc>
              <w:tc>
                <w:tcPr>
                  <w:tcW w:w="97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5.54 </w:t>
                  </w:r>
                </w:p>
              </w:tc>
              <w:tc>
                <w:tcPr>
                  <w:tcW w:w="97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2.77 </w:t>
                  </w:r>
                </w:p>
              </w:tc>
              <w:tc>
                <w:tcPr>
                  <w:tcW w:w="97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6.32 </w:t>
                  </w:r>
                </w:p>
              </w:tc>
              <w:tc>
                <w:tcPr>
                  <w:tcW w:w="97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4.17 </w:t>
                  </w:r>
                </w:p>
              </w:tc>
              <w:tc>
                <w:tcPr>
                  <w:tcW w:w="97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7.01 </w:t>
                  </w:r>
                </w:p>
              </w:tc>
              <w:tc>
                <w:tcPr>
                  <w:tcW w:w="971"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8.01 </w:t>
                  </w:r>
                </w:p>
              </w:tc>
              <w:tc>
                <w:tcPr>
                  <w:tcW w:w="120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6.12 </w:t>
                  </w:r>
                </w:p>
              </w:tc>
            </w:tr>
          </w:tbl>
          <w:p>
            <w:pPr>
              <w:spacing w:after="379" w:afterLines="100"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581650" cy="281940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图10 华东各地区的财政教育支出增长速度</w:t>
            </w:r>
          </w:p>
          <w:p>
            <w:pPr>
              <w:spacing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tc>
      </w:tr>
    </w:tbl>
    <w:p>
      <w:pPr>
        <w:spacing w:line="360" w:lineRule="auto"/>
        <w:rPr>
          <w:bCs/>
          <w:sz w:val="24"/>
        </w:rPr>
      </w:pPr>
      <w:r>
        <w:rPr>
          <w:rFonts w:hint="eastAsia"/>
          <w:bCs/>
          <w:sz w:val="24"/>
        </w:rPr>
        <w:t>2.2.3  华东地区财政教育支出占GDP比重的差异</w:t>
      </w:r>
    </w:p>
    <w:p>
      <w:pPr>
        <w:keepNext w:val="0"/>
        <w:keepLines w:val="0"/>
        <w:pageBreakBefore w:val="0"/>
        <w:widowControl w:val="0"/>
        <w:kinsoku/>
        <w:wordWrap/>
        <w:overflowPunct/>
        <w:topLinePunct w:val="0"/>
        <w:autoSpaceDE/>
        <w:autoSpaceDN/>
        <w:bidi w:val="0"/>
        <w:adjustRightInd/>
        <w:snapToGrid/>
        <w:spacing w:after="379" w:afterLines="100" w:line="360" w:lineRule="auto"/>
        <w:ind w:firstLine="480" w:firstLineChars="200"/>
        <w:jc w:val="both"/>
        <w:textAlignment w:val="auto"/>
        <w:outlineLvl w:val="9"/>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在华东地区六省一市中，上海市、安徽省、江西省财政教育支出占GDP的比重较大，高于华东地区平均水平；江苏省、浙江省、福建省、山东省的比重较低，处在华东地区平均水平以下。如图11所示，</w:t>
      </w:r>
      <w:r>
        <w:rPr>
          <w:rFonts w:hint="eastAsia"/>
          <w:bCs/>
          <w:color w:val="000000" w:themeColor="text1"/>
          <w:sz w:val="24"/>
          <w14:textFill>
            <w14:solidFill>
              <w14:schemeClr w14:val="tx1"/>
            </w14:solidFill>
          </w14:textFill>
        </w:rPr>
        <w:t>2002、2003年、2011至2016年，江西省财政教育支出占GDP比重最高，江苏省占比最低，由表3可知，</w:t>
      </w:r>
      <w:r>
        <w:rPr>
          <w:rFonts w:hint="eastAsia"/>
          <w:bCs/>
          <w:color w:val="000000" w:themeColor="text1"/>
          <w:sz w:val="24"/>
          <w14:textFill>
            <w14:solidFill>
              <w14:schemeClr w14:val="tx1"/>
            </w14:solidFill>
          </w14:textFill>
        </w:rPr>
        <w:t>两省在2002年的占比分别为2.42%、1.53%，相差0.89%；在2016年的占比分别为4.59%、2.38%，相差2.21%，比2002年的差额高了1.32个百分点。2004至2006年、2008年安徽省的占比变为最高，山东省的占比变为最低，两省在2005年的占比分别为2.19%、1.35%，差额达到最低值0.84%，2012年的最高差额2.31%比其高了1.47个百分点。就财政教育支出占GDP比重的变动幅度来看，2002年至2016年，江西省占比最高值与最低值的差额最大，为2.67%，江苏省的差额最小，仅为1.13%，两省相差1.54个百分点。</w:t>
      </w:r>
    </w:p>
    <w:p>
      <w:pPr>
        <w:spacing w:line="360" w:lineRule="auto"/>
        <w:jc w:val="left"/>
        <w:rPr>
          <w:bCs/>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5579745" cy="3165475"/>
            <wp:effectExtent l="0" t="0" r="1905"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图11 华东各地区财政教育支出占GDP的比重</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tbl>
      <w:tblPr>
        <w:tblStyle w:val="13"/>
        <w:tblW w:w="8522" w:type="dxa"/>
        <w:tblInd w:w="0" w:type="dxa"/>
        <w:tblLayout w:type="fixed"/>
        <w:tblCellMar>
          <w:top w:w="0" w:type="dxa"/>
          <w:left w:w="108" w:type="dxa"/>
          <w:bottom w:w="0" w:type="dxa"/>
          <w:right w:w="108" w:type="dxa"/>
        </w:tblCellMar>
      </w:tblPr>
      <w:tblGrid>
        <w:gridCol w:w="642"/>
        <w:gridCol w:w="947"/>
        <w:gridCol w:w="947"/>
        <w:gridCol w:w="948"/>
        <w:gridCol w:w="948"/>
        <w:gridCol w:w="948"/>
        <w:gridCol w:w="948"/>
        <w:gridCol w:w="948"/>
        <w:gridCol w:w="1246"/>
      </w:tblGrid>
      <w:tr>
        <w:tblPrEx>
          <w:tblLayout w:type="fixed"/>
          <w:tblCellMar>
            <w:top w:w="0" w:type="dxa"/>
            <w:left w:w="108" w:type="dxa"/>
            <w:bottom w:w="0" w:type="dxa"/>
            <w:right w:w="108" w:type="dxa"/>
          </w:tblCellMar>
        </w:tblPrEx>
        <w:trPr>
          <w:trHeight w:val="270" w:hRule="atLeast"/>
        </w:trPr>
        <w:tc>
          <w:tcPr>
            <w:tcW w:w="8522" w:type="dxa"/>
            <w:gridSpan w:val="9"/>
            <w:tcBorders>
              <w:top w:val="nil"/>
              <w:left w:val="nil"/>
              <w:bottom w:val="single" w:color="auto" w:sz="8" w:space="0"/>
              <w:right w:val="nil"/>
            </w:tcBorders>
            <w:shd w:val="clear" w:color="auto" w:fill="auto"/>
            <w:vAlign w:val="center"/>
          </w:tcPr>
          <w:p>
            <w:pPr>
              <w:spacing w:line="360" w:lineRule="auto"/>
              <w:ind w:firstLine="420" w:firstLineChars="200"/>
              <w:jc w:val="center"/>
              <w:rPr>
                <w:rFonts w:ascii="宋体" w:hAnsi="宋体" w:cs="宋体"/>
                <w:color w:val="000000" w:themeColor="text1"/>
                <w:kern w:val="0"/>
                <w:sz w:val="22"/>
                <w14:textFill>
                  <w14:solidFill>
                    <w14:schemeClr w14:val="tx1"/>
                  </w14:solidFill>
                </w14:textFill>
              </w:rPr>
            </w:pPr>
            <w:r>
              <w:rPr>
                <w:bCs/>
                <w:color w:val="000000" w:themeColor="text1"/>
                <w:szCs w:val="21"/>
                <w14:textFill>
                  <w14:solidFill>
                    <w14:schemeClr w14:val="tx1"/>
                  </w14:solidFill>
                </w14:textFill>
              </w:rPr>
              <w:t>表</w:t>
            </w:r>
            <w:r>
              <w:rPr>
                <w:rFonts w:hint="eastAsia"/>
                <w:bCs/>
                <w:color w:val="000000" w:themeColor="text1"/>
                <w:szCs w:val="21"/>
                <w14:textFill>
                  <w14:solidFill>
                    <w14:schemeClr w14:val="tx1"/>
                  </w14:solidFill>
                </w14:textFill>
              </w:rPr>
              <w:t>3  华东地区财政教育支出占GDP比重（%）</w:t>
            </w:r>
          </w:p>
        </w:tc>
      </w:tr>
      <w:tr>
        <w:tblPrEx>
          <w:tblLayout w:type="fixed"/>
          <w:tblCellMar>
            <w:top w:w="0" w:type="dxa"/>
            <w:left w:w="108" w:type="dxa"/>
            <w:bottom w:w="0" w:type="dxa"/>
            <w:right w:w="108" w:type="dxa"/>
          </w:tblCellMar>
        </w:tblPrEx>
        <w:trPr>
          <w:trHeight w:val="270" w:hRule="atLeast"/>
        </w:trPr>
        <w:tc>
          <w:tcPr>
            <w:tcW w:w="642"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w:t>
            </w:r>
          </w:p>
        </w:tc>
        <w:tc>
          <w:tcPr>
            <w:tcW w:w="947"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上海市</w:t>
            </w:r>
          </w:p>
        </w:tc>
        <w:tc>
          <w:tcPr>
            <w:tcW w:w="947"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江苏省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浙江省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安徽省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福建省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江西省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山东省</w:t>
            </w:r>
          </w:p>
        </w:tc>
        <w:tc>
          <w:tcPr>
            <w:tcW w:w="1246"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华东地区</w:t>
            </w:r>
          </w:p>
        </w:tc>
      </w:tr>
      <w:tr>
        <w:tblPrEx>
          <w:tblLayout w:type="fixed"/>
          <w:tblCellMar>
            <w:top w:w="0" w:type="dxa"/>
            <w:left w:w="108" w:type="dxa"/>
            <w:bottom w:w="0" w:type="dxa"/>
            <w:right w:w="108" w:type="dxa"/>
          </w:tblCellMar>
        </w:tblPrEx>
        <w:trPr>
          <w:trHeight w:val="270" w:hRule="atLeast"/>
        </w:trPr>
        <w:tc>
          <w:tcPr>
            <w:tcW w:w="642"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2002</w:t>
            </w:r>
          </w:p>
        </w:tc>
        <w:tc>
          <w:tcPr>
            <w:tcW w:w="947"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2.02 </w:t>
            </w:r>
          </w:p>
        </w:tc>
        <w:tc>
          <w:tcPr>
            <w:tcW w:w="947"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1.53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1.71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2.19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1.81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2.42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1.58 </w:t>
            </w:r>
          </w:p>
        </w:tc>
        <w:tc>
          <w:tcPr>
            <w:tcW w:w="1246"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1.77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2003</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1.96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1.44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1.48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1.70 </w:t>
            </w:r>
          </w:p>
        </w:tc>
      </w:tr>
      <w:tr>
        <w:tblPrEx>
          <w:tblLayout w:type="fixed"/>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2004</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1.92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1.36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1.66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2005</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1.98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1.35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1.64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2006</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1.94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1.33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1.65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2007</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2.27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2.89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3.00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1.76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2.07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2008</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2.32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3.23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1.78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2.14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2009</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2.31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1.98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3.22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3.29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1.81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2.21 </w:t>
            </w:r>
          </w:p>
        </w:tc>
      </w:tr>
      <w:tr>
        <w:tblPrEx>
          <w:tblLayout w:type="fixed"/>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2010</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2.43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3.13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3.15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1.97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2.27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2011</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2.86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3.69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4.05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2.31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2.57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2012</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3.22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4.17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2.85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4.80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2.62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2.92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2013</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3.11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3.83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4.61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2.53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2.80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2014</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2.95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2.57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3.56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2.64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4.53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2.46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2.73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2015</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3.05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2.49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3.89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4.74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2.68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2.96 </w:t>
            </w:r>
          </w:p>
        </w:tc>
      </w:tr>
      <w:tr>
        <w:tblPrEx>
          <w:tblLayout w:type="fixed"/>
        </w:tblPrEx>
        <w:trPr>
          <w:trHeight w:val="270" w:hRule="atLeast"/>
        </w:trPr>
        <w:tc>
          <w:tcPr>
            <w:tcW w:w="642"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2016</w:t>
            </w:r>
          </w:p>
        </w:tc>
        <w:tc>
          <w:tcPr>
            <w:tcW w:w="947"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2.98 </w:t>
            </w:r>
          </w:p>
        </w:tc>
        <w:tc>
          <w:tcPr>
            <w:tcW w:w="947"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2.38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2.75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3.73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2.74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4.59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2.68 </w:t>
            </w:r>
          </w:p>
        </w:tc>
        <w:tc>
          <w:tcPr>
            <w:tcW w:w="1246"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2.86 </w:t>
            </w:r>
          </w:p>
        </w:tc>
      </w:tr>
    </w:tbl>
    <w:p>
      <w:pPr>
        <w:spacing w:after="379" w:afterLines="100"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2.2.4  华东地区财政教育支出占财政支出比重的差异</w:t>
      </w:r>
    </w:p>
    <w:p>
      <w:pPr>
        <w:keepNext w:val="0"/>
        <w:keepLines w:val="0"/>
        <w:pageBreakBefore w:val="0"/>
        <w:widowControl w:val="0"/>
        <w:kinsoku/>
        <w:wordWrap/>
        <w:overflowPunct/>
        <w:topLinePunct w:val="0"/>
        <w:autoSpaceDE/>
        <w:autoSpaceDN/>
        <w:bidi w:val="0"/>
        <w:adjustRightInd/>
        <w:snapToGrid/>
        <w:spacing w:after="379" w:afterLines="100" w:line="360" w:lineRule="auto"/>
        <w:ind w:firstLine="480" w:firstLineChars="200"/>
        <w:jc w:val="both"/>
        <w:textAlignment w:val="auto"/>
        <w:outlineLvl w:val="9"/>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华东地区六省一市中，浙江省、福建省、山东省财政教育支出占财政支出的比重较大，15年均高于华东地区平均水平；上海市、江苏省、安徽省、江西省的比重较低，其中上海市的占比最低，在2002年至2016年间始终低于华东地区平均水平。如图12所示，</w:t>
      </w:r>
      <w:r>
        <w:rPr>
          <w:rFonts w:hint="eastAsia"/>
          <w:bCs/>
          <w:color w:val="000000" w:themeColor="text1"/>
          <w:sz w:val="24"/>
          <w14:textFill>
            <w14:solidFill>
              <w14:schemeClr w14:val="tx1"/>
            </w14:solidFill>
          </w14:textFill>
        </w:rPr>
        <w:t>2002至2006年、2009年、2010年福建省的占比都是最高，由表4可知，</w:t>
      </w:r>
      <w:r>
        <w:rPr>
          <w:rFonts w:hint="eastAsia"/>
          <w:bCs/>
          <w:color w:val="000000" w:themeColor="text1"/>
          <w:sz w:val="24"/>
          <w14:textFill>
            <w14:solidFill>
              <w14:schemeClr w14:val="tx1"/>
            </w14:solidFill>
          </w14:textFill>
        </w:rPr>
        <w:t>其与上海市在2002年的占比分别为20.39%、13.46%，相差6.93%；除2007、2008浙江省的占比达到最高外，其余年份均是山东省的占比最高，其与上海市的占比在2013年分别为20.93%、15.01%，差额达到最低值5.92%；在2016年分别为20.86%、12.15%，差额达到最高值8.71%，比2002年高1.78个百分点。就财政教育支出占财政支出比重的变动幅度来看，2002年至2016年，江西省占比最高值与最低值的差额最大，为5.70%，浙江省的差额最小，仅为2.99%，两省相差2.71个百分点。</w:t>
      </w:r>
    </w:p>
    <w:p>
      <w:pPr>
        <w:spacing w:line="360" w:lineRule="auto"/>
        <w:rPr>
          <w:bCs/>
          <w:color w:val="000000" w:themeColor="text1"/>
          <w:sz w:val="24"/>
          <w14:textFill>
            <w14:solidFill>
              <w14:schemeClr w14:val="tx1"/>
            </w14:solidFill>
          </w14:textFill>
        </w:rPr>
      </w:pPr>
      <w:r>
        <w:rPr>
          <w:color w:val="000000" w:themeColor="text1"/>
          <w14:textFill>
            <w14:solidFill>
              <w14:schemeClr w14:val="tx1"/>
            </w14:solidFill>
          </w14:textFill>
        </w:rPr>
        <w:drawing>
          <wp:inline distT="0" distB="0" distL="0" distR="0">
            <wp:extent cx="5581015" cy="2311400"/>
            <wp:effectExtent l="0" t="0" r="63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图12 华东各地区的财政教育支出占财政支出的比重</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tbl>
      <w:tblPr>
        <w:tblStyle w:val="13"/>
        <w:tblW w:w="8522" w:type="dxa"/>
        <w:tblInd w:w="0" w:type="dxa"/>
        <w:tblLayout w:type="fixed"/>
        <w:tblCellMar>
          <w:top w:w="0" w:type="dxa"/>
          <w:left w:w="108" w:type="dxa"/>
          <w:bottom w:w="0" w:type="dxa"/>
          <w:right w:w="108" w:type="dxa"/>
        </w:tblCellMar>
      </w:tblPr>
      <w:tblGrid>
        <w:gridCol w:w="642"/>
        <w:gridCol w:w="947"/>
        <w:gridCol w:w="947"/>
        <w:gridCol w:w="948"/>
        <w:gridCol w:w="948"/>
        <w:gridCol w:w="948"/>
        <w:gridCol w:w="948"/>
        <w:gridCol w:w="948"/>
        <w:gridCol w:w="1246"/>
      </w:tblGrid>
      <w:tr>
        <w:tblPrEx>
          <w:tblLayout w:type="fixed"/>
          <w:tblCellMar>
            <w:top w:w="0" w:type="dxa"/>
            <w:left w:w="108" w:type="dxa"/>
            <w:bottom w:w="0" w:type="dxa"/>
            <w:right w:w="108" w:type="dxa"/>
          </w:tblCellMar>
        </w:tblPrEx>
        <w:trPr>
          <w:trHeight w:val="270" w:hRule="atLeast"/>
        </w:trPr>
        <w:tc>
          <w:tcPr>
            <w:tcW w:w="8522" w:type="dxa"/>
            <w:gridSpan w:val="9"/>
            <w:tcBorders>
              <w:top w:val="nil"/>
              <w:left w:val="nil"/>
              <w:bottom w:val="single" w:color="auto" w:sz="8" w:space="0"/>
              <w:right w:val="nil"/>
            </w:tcBorders>
            <w:shd w:val="clear" w:color="auto" w:fill="auto"/>
            <w:vAlign w:val="center"/>
          </w:tcPr>
          <w:p>
            <w:pPr>
              <w:spacing w:line="360" w:lineRule="auto"/>
              <w:ind w:firstLine="420" w:firstLineChars="200"/>
              <w:jc w:val="center"/>
              <w:rPr>
                <w:rFonts w:ascii="宋体" w:hAnsi="宋体" w:cs="宋体"/>
                <w:color w:val="000000" w:themeColor="text1"/>
                <w:kern w:val="0"/>
                <w:sz w:val="22"/>
                <w14:textFill>
                  <w14:solidFill>
                    <w14:schemeClr w14:val="tx1"/>
                  </w14:solidFill>
                </w14:textFill>
              </w:rPr>
            </w:pPr>
            <w:r>
              <w:rPr>
                <w:bCs/>
                <w:color w:val="000000" w:themeColor="text1"/>
                <w:szCs w:val="21"/>
                <w14:textFill>
                  <w14:solidFill>
                    <w14:schemeClr w14:val="tx1"/>
                  </w14:solidFill>
                </w14:textFill>
              </w:rPr>
              <w:t>表</w:t>
            </w:r>
            <w:r>
              <w:rPr>
                <w:rFonts w:hint="eastAsia"/>
                <w:bCs/>
                <w:color w:val="000000" w:themeColor="text1"/>
                <w:szCs w:val="21"/>
                <w14:textFill>
                  <w14:solidFill>
                    <w14:schemeClr w14:val="tx1"/>
                  </w14:solidFill>
                </w14:textFill>
              </w:rPr>
              <w:t>4  华东地区财政教育支出占财政支出比重（%）</w:t>
            </w:r>
          </w:p>
        </w:tc>
      </w:tr>
      <w:tr>
        <w:tblPrEx>
          <w:tblLayout w:type="fixed"/>
          <w:tblCellMar>
            <w:top w:w="0" w:type="dxa"/>
            <w:left w:w="108" w:type="dxa"/>
            <w:bottom w:w="0" w:type="dxa"/>
            <w:right w:w="108" w:type="dxa"/>
          </w:tblCellMar>
        </w:tblPrEx>
        <w:trPr>
          <w:trHeight w:val="270" w:hRule="atLeast"/>
        </w:trPr>
        <w:tc>
          <w:tcPr>
            <w:tcW w:w="642"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w:t>
            </w:r>
          </w:p>
        </w:tc>
        <w:tc>
          <w:tcPr>
            <w:tcW w:w="947"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上海市</w:t>
            </w:r>
          </w:p>
        </w:tc>
        <w:tc>
          <w:tcPr>
            <w:tcW w:w="947"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江苏省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浙江省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安徽省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福建省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江西省</w:t>
            </w:r>
          </w:p>
        </w:tc>
        <w:tc>
          <w:tcPr>
            <w:tcW w:w="948"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山东省</w:t>
            </w:r>
          </w:p>
        </w:tc>
        <w:tc>
          <w:tcPr>
            <w:tcW w:w="1246" w:type="dxa"/>
            <w:tcBorders>
              <w:top w:val="single" w:color="auto" w:sz="8" w:space="0"/>
              <w:left w:val="nil"/>
              <w:bottom w:val="single" w:color="auto" w:sz="4"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华东地区</w:t>
            </w:r>
          </w:p>
        </w:tc>
      </w:tr>
      <w:tr>
        <w:tblPrEx>
          <w:tblLayout w:type="fixed"/>
          <w:tblCellMar>
            <w:top w:w="0" w:type="dxa"/>
            <w:left w:w="108" w:type="dxa"/>
            <w:bottom w:w="0" w:type="dxa"/>
            <w:right w:w="108" w:type="dxa"/>
          </w:tblCellMar>
        </w:tblPrEx>
        <w:trPr>
          <w:trHeight w:val="270" w:hRule="atLeast"/>
        </w:trPr>
        <w:tc>
          <w:tcPr>
            <w:tcW w:w="642"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2002</w:t>
            </w:r>
          </w:p>
        </w:tc>
        <w:tc>
          <w:tcPr>
            <w:tcW w:w="947"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13.46 </w:t>
            </w:r>
          </w:p>
        </w:tc>
        <w:tc>
          <w:tcPr>
            <w:tcW w:w="947"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18.88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18.26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16.83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20.39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17.35 </w:t>
            </w:r>
          </w:p>
        </w:tc>
        <w:tc>
          <w:tcPr>
            <w:tcW w:w="948"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18.91 </w:t>
            </w:r>
          </w:p>
        </w:tc>
        <w:tc>
          <w:tcPr>
            <w:tcW w:w="1246" w:type="dxa"/>
            <w:tcBorders>
              <w:top w:val="single" w:color="auto" w:sz="4" w:space="0"/>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17.56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2003</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12.07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17.09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18.31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16.66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20.55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16.87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17.73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16.63 </w:t>
            </w:r>
          </w:p>
        </w:tc>
      </w:tr>
      <w:tr>
        <w:tblPrEx>
          <w:tblLayout w:type="fixed"/>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2004</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11.24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16.34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18.82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17.55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19.53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16.23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17.22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16.18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2005</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11.11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15.43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18.30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16.47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18.80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15.59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16.97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15.63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2006</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11.44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14.81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18.28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16.18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18.70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14.90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15.94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15.37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2007</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12.99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19.30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21.25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17.12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20.17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19.20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20.04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18.41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2008</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12.57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18.25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20.56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17.38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20.51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17.09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20.37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17.97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2009</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11.61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16.94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19.57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15.12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19.66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16.12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18.77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16.70 </w:t>
            </w:r>
          </w:p>
        </w:tc>
      </w:tr>
      <w:tr>
        <w:tblPrEx>
          <w:tblLayout w:type="fixed"/>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2010</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12.63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17.61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18.91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14.93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19.34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15.47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18.59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16.86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2011</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14.03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17.57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19.56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17.10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18.50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18.72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20.95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18.09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2012</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15.51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19.22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21.09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18.13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21.56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20.60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22.22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19.74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2013</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15.01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18.40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20.08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16.93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18.73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19.15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20.93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18.59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2014</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14.13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17.76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19.98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15.93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19.19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18.33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20.36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18.04 </w:t>
            </w:r>
          </w:p>
        </w:tc>
      </w:tr>
      <w:tr>
        <w:tblPrEx>
          <w:tblLayout w:type="fixed"/>
          <w:tblCellMar>
            <w:top w:w="0" w:type="dxa"/>
            <w:left w:w="108" w:type="dxa"/>
            <w:bottom w:w="0" w:type="dxa"/>
            <w:right w:w="108" w:type="dxa"/>
          </w:tblCellMar>
        </w:tblPrEx>
        <w:trPr>
          <w:trHeight w:val="270" w:hRule="atLeast"/>
        </w:trPr>
        <w:tc>
          <w:tcPr>
            <w:tcW w:w="642"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2015</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12.39 </w:t>
            </w:r>
          </w:p>
        </w:tc>
        <w:tc>
          <w:tcPr>
            <w:tcW w:w="947"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18.03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19.03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16.35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18.93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17.98 </w:t>
            </w:r>
          </w:p>
        </w:tc>
        <w:tc>
          <w:tcPr>
            <w:tcW w:w="948"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20.49 </w:t>
            </w:r>
          </w:p>
        </w:tc>
        <w:tc>
          <w:tcPr>
            <w:tcW w:w="1246" w:type="dxa"/>
            <w:tcBorders>
              <w:top w:val="nil"/>
              <w:left w:val="nil"/>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17.73 </w:t>
            </w:r>
          </w:p>
        </w:tc>
      </w:tr>
      <w:tr>
        <w:tblPrEx>
          <w:tblLayout w:type="fixed"/>
        </w:tblPrEx>
        <w:trPr>
          <w:trHeight w:val="270" w:hRule="atLeast"/>
        </w:trPr>
        <w:tc>
          <w:tcPr>
            <w:tcW w:w="642"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2016</w:t>
            </w:r>
          </w:p>
        </w:tc>
        <w:tc>
          <w:tcPr>
            <w:tcW w:w="947"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12.15 </w:t>
            </w:r>
          </w:p>
        </w:tc>
        <w:tc>
          <w:tcPr>
            <w:tcW w:w="947"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18.46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18.64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16.49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18.46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18.38 </w:t>
            </w:r>
          </w:p>
        </w:tc>
        <w:tc>
          <w:tcPr>
            <w:tcW w:w="948"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20.86 </w:t>
            </w:r>
          </w:p>
        </w:tc>
        <w:tc>
          <w:tcPr>
            <w:tcW w:w="1246" w:type="dxa"/>
            <w:tcBorders>
              <w:top w:val="nil"/>
              <w:left w:val="nil"/>
              <w:bottom w:val="single" w:color="auto" w:sz="8" w:space="0"/>
              <w:right w:val="nil"/>
            </w:tcBorders>
            <w:shd w:val="clear" w:color="auto" w:fill="auto"/>
            <w:vAlign w:val="center"/>
          </w:tcPr>
          <w:p>
            <w:pPr>
              <w:widowControl/>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17.77 </w:t>
            </w:r>
          </w:p>
        </w:tc>
      </w:tr>
    </w:tbl>
    <w:p>
      <w:pPr>
        <w:spacing w:after="379" w:afterLines="100"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line="360" w:lineRule="auto"/>
        <w:rPr>
          <w:bCs/>
          <w:sz w:val="24"/>
        </w:rPr>
      </w:pPr>
      <w:r>
        <w:rPr>
          <w:rFonts w:hint="eastAsia"/>
          <w:bCs/>
          <w:sz w:val="24"/>
        </w:rPr>
        <w:t>2.2.5  华东地区财政教育支出的变异系数</w:t>
      </w:r>
    </w:p>
    <w:p>
      <w:pPr>
        <w:spacing w:after="379" w:afterLines="100"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2002至2016年，华东地区财政教育支出的变异系数波动较大。如图13所示，</w:t>
      </w:r>
      <w:r>
        <w:rPr>
          <w:rFonts w:hint="eastAsia"/>
          <w:bCs/>
          <w:color w:val="000000" w:themeColor="text1"/>
          <w:sz w:val="24"/>
          <w14:textFill>
            <w14:solidFill>
              <w14:schemeClr w14:val="tx1"/>
            </w14:solidFill>
          </w14:textFill>
        </w:rPr>
        <w:t>前四年不断上升，由2002年的0.344上升到2005年的0.373，2006年下降为0.355，第二年迅速上升到0.391，2008、2009年连续下降后，2010年上升到最高值0.398，随后两年迅速回落，达到最低值0.351，2013年有所上升，2014年又略微下降，之后保持上升趋势，在2016年达到0.364。2002年至2016年华东地区财政教育支出的变异系数围绕0.3波动，2016年与2002年的水平基本持平，说明存在收敛的问题。</w:t>
      </w:r>
    </w:p>
    <w:p>
      <w:pPr>
        <w:spacing w:line="360" w:lineRule="auto"/>
        <w:jc w:val="left"/>
        <w:rPr>
          <w:bCs/>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5579745" cy="2124075"/>
            <wp:effectExtent l="0" t="0" r="1905"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ind w:firstLine="420" w:firstLineChars="20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图13 2002-2016年华东地区财政教育支出的变异系数</w:t>
      </w:r>
    </w:p>
    <w:p>
      <w:pPr>
        <w:spacing w:after="379" w:afterLines="100" w:line="360" w:lineRule="auto"/>
        <w:ind w:firstLine="420" w:firstLineChars="2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2002-2017 年中国统计年鉴相关数据计算而得。</w:t>
      </w:r>
    </w:p>
    <w:p>
      <w:pPr>
        <w:spacing w:before="379" w:beforeLines="100" w:after="379" w:afterLines="100" w:line="360" w:lineRule="auto"/>
        <w:outlineLvl w:val="0"/>
        <w:rPr>
          <w:rFonts w:ascii="黑体" w:hAnsi="宋体" w:eastAsia="黑体"/>
          <w:bCs/>
          <w:color w:val="000000" w:themeColor="text1"/>
          <w:sz w:val="28"/>
          <w14:textFill>
            <w14:solidFill>
              <w14:schemeClr w14:val="tx1"/>
            </w14:solidFill>
          </w14:textFill>
        </w:rPr>
      </w:pPr>
      <w:bookmarkStart w:id="8" w:name="_Toc515369603"/>
      <w:r>
        <w:rPr>
          <w:rFonts w:hint="eastAsia" w:ascii="黑体" w:hAnsi="宋体" w:eastAsia="黑体"/>
          <w:bCs/>
          <w:color w:val="000000" w:themeColor="text1"/>
          <w:sz w:val="28"/>
          <w14:textFill>
            <w14:solidFill>
              <w14:schemeClr w14:val="tx1"/>
            </w14:solidFill>
          </w14:textFill>
        </w:rPr>
        <w:t>3  华东地区财政教育支出规模差异影响因素</w:t>
      </w:r>
      <w:bookmarkEnd w:id="8"/>
    </w:p>
    <w:p>
      <w:pPr>
        <w:spacing w:line="360" w:lineRule="auto"/>
        <w:outlineLvl w:val="1"/>
        <w:rPr>
          <w:rFonts w:ascii="黑体" w:hAnsi="黑体" w:eastAsia="黑体"/>
          <w:bCs/>
          <w:color w:val="000000" w:themeColor="text1"/>
          <w:sz w:val="24"/>
          <w14:textFill>
            <w14:solidFill>
              <w14:schemeClr w14:val="tx1"/>
            </w14:solidFill>
          </w14:textFill>
        </w:rPr>
      </w:pPr>
      <w:bookmarkStart w:id="9" w:name="_Toc515369604"/>
      <w:r>
        <w:rPr>
          <w:rFonts w:hint="eastAsia" w:ascii="黑体" w:hAnsi="黑体" w:eastAsia="黑体"/>
          <w:bCs/>
          <w:color w:val="000000" w:themeColor="text1"/>
          <w:sz w:val="24"/>
          <w14:textFill>
            <w14:solidFill>
              <w14:schemeClr w14:val="tx1"/>
            </w14:solidFill>
          </w14:textFill>
        </w:rPr>
        <w:t>3.1  财政分权程度</w:t>
      </w:r>
      <w:bookmarkEnd w:id="9"/>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财政分权作为中央与地方关系的制度安排，表明了地方政府财政自主性的大小。财政分权程度越高，可支配资源越多，政府用于各方面支出的规模也就越大。就财政分权程度和财政教育支出规模的关系来看，一般而言，对于经济发达的地方来说，财政分权程度越高，政府用于财政教育支出的规模也就越大，而对于经济欠发达的地方来说，财政分权程度越高，用于财政教育支出的规模越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2016年，江苏省的财政分权程度最高，为5.32%，山东省次之，为4.66%，福建省的财政分权程度最低，为2.28%；就六省一市财政教育支出占华东地区总支出的比重来看，也是江苏省的占比最高，为22.05%，山东省次之，为21.85%，福建省的占比最低，为9.44%。在以GDP为指标的官员政绩考核机制下，财政分权导致地方政府</w:t>
      </w:r>
      <w:r>
        <w:rPr>
          <w:rFonts w:hint="eastAsia" w:ascii="宋体" w:hAnsi="宋体" w:cs="宋体"/>
          <w:bCs/>
          <w:color w:val="000000" w:themeColor="text1"/>
          <w:sz w:val="24"/>
          <w14:textFill>
            <w14:solidFill>
              <w14:schemeClr w14:val="tx1"/>
            </w14:solidFill>
          </w14:textFill>
        </w:rPr>
        <w:t>的压力变大，对于经济和教育历来发达的江苏省、浙江省、上海市而言,其提高地区竞争力的方法，除通过降低企业所得税率、兴建基础设施来吸引外资外,更重要的是必须加大财政教育投入来引进人才。而对于安徽省、江西省、福建省而言,由于其现阶段更重视经济发展，</w:t>
      </w:r>
      <w:r>
        <w:rPr>
          <w:rFonts w:hint="eastAsia"/>
          <w:bCs/>
          <w:color w:val="000000" w:themeColor="text1"/>
          <w:sz w:val="24"/>
          <w14:textFill>
            <w14:solidFill>
              <w14:schemeClr w14:val="tx1"/>
            </w14:solidFill>
          </w14:textFill>
        </w:rPr>
        <w:t>与教育方面的投入相比，在短期内，基础建设方面的投资更能促进经济的快速发展，因而地方政府更热衷于加大基础设施建设的投入，科教文卫方面的支出相应减少。</w:t>
      </w:r>
      <w:r>
        <w:rPr>
          <w:rFonts w:hint="eastAsia" w:ascii="宋体" w:hAnsi="宋体" w:cs="宋体"/>
          <w:bCs/>
          <w:color w:val="000000" w:themeColor="text1"/>
          <w:sz w:val="24"/>
          <w14:textFill>
            <w14:solidFill>
              <w14:schemeClr w14:val="tx1"/>
            </w14:solidFill>
          </w14:textFill>
        </w:rPr>
        <w:t>财政分权程度越高，当地各级政府的财力越大，在这种宽松的资源环境下，各级政府片面追求经济效益，忽视财政教育支出的投入。</w:t>
      </w:r>
    </w:p>
    <w:p>
      <w:pPr>
        <w:spacing w:line="360" w:lineRule="auto"/>
        <w:outlineLvl w:val="1"/>
        <w:rPr>
          <w:rFonts w:ascii="黑体" w:hAnsi="黑体" w:eastAsia="黑体"/>
          <w:bCs/>
          <w:color w:val="000000" w:themeColor="text1"/>
          <w:sz w:val="24"/>
          <w14:textFill>
            <w14:solidFill>
              <w14:schemeClr w14:val="tx1"/>
            </w14:solidFill>
          </w14:textFill>
        </w:rPr>
      </w:pPr>
      <w:bookmarkStart w:id="10" w:name="_Toc515369605"/>
      <w:r>
        <w:rPr>
          <w:rFonts w:hint="eastAsia" w:ascii="黑体" w:hAnsi="黑体" w:eastAsia="黑体"/>
          <w:bCs/>
          <w:color w:val="000000" w:themeColor="text1"/>
          <w:sz w:val="24"/>
          <w14:textFill>
            <w14:solidFill>
              <w14:schemeClr w14:val="tx1"/>
            </w14:solidFill>
          </w14:textFill>
        </w:rPr>
        <w:t>3.2  政府竞争程度</w:t>
      </w:r>
      <w:bookmarkEnd w:id="10"/>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我国现今的财政分权制度下，政府间的竞争除了体现在投资基础设施、吸引外国资本方面，人才培养方面的竞争也日益激烈。人力资本水平的高低对地方经济发展、社会发展有很重要的支撑作用，一个地方教育投入越多，教育发展水平越高，该地社会治安、经济发展水平也就越高，因而政府间在财政教育支出方面有相互的竞争。预算内的财政收入与财政支出是固定的，地方政府间展开的标尺竞争会扭曲当地的支出结构，财政支出会在科教文卫等公共服务、基础建设等生产性投入中发生偏离。</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2005、2009、2010、2015年，江苏省财政教育支出增量在华东地区总增量中的占比最高，分别为23.90%、24.21%、28.09%、22.05%；其GDP增量在华东地区总增量中的占比也是最高，分别为36.35%、22.97%、23.69%、21.85%。2003、2008年，江西省财政教育支出增量占比最低，分别为5.23%、7.29%；其GDP增量占比也最低，分别为4.97%、6.71%。财政政府偏好一般有两种：一种比较关注经济性支出，提供经济性公共产品；另外一种是政府偏好于提供非经济性公共产品，如教育、文化、体育等。投入到建设高速公路、水电站基础设施建设是有收益、有补偿的，而用于教育方面是没有补偿的，因而政府在以GDP为导向的激励机制下，以关注经济发展建设为主要目标，竞争越激烈，对生产性投入越高，对教育投入越低。但近年来也有相反的情况出现，竞争越激烈的地方，政府越倾向于增加对教育的投入，积累人力资本从而提高当地的教育水平，加大吸引外商投资的竞争力。</w:t>
      </w:r>
    </w:p>
    <w:p>
      <w:pPr>
        <w:spacing w:line="360" w:lineRule="auto"/>
        <w:outlineLvl w:val="1"/>
        <w:rPr>
          <w:rFonts w:ascii="黑体" w:hAnsi="黑体" w:eastAsia="黑体"/>
          <w:bCs/>
          <w:color w:val="000000" w:themeColor="text1"/>
          <w:sz w:val="24"/>
          <w14:textFill>
            <w14:solidFill>
              <w14:schemeClr w14:val="tx1"/>
            </w14:solidFill>
          </w14:textFill>
        </w:rPr>
      </w:pPr>
      <w:bookmarkStart w:id="11" w:name="_Toc515369606"/>
      <w:r>
        <w:rPr>
          <w:rFonts w:hint="eastAsia" w:ascii="黑体" w:hAnsi="黑体" w:eastAsia="黑体"/>
          <w:bCs/>
          <w:color w:val="000000" w:themeColor="text1"/>
          <w:sz w:val="24"/>
          <w14:textFill>
            <w14:solidFill>
              <w14:schemeClr w14:val="tx1"/>
            </w14:solidFill>
          </w14:textFill>
        </w:rPr>
        <w:t>3.3  政府财政自给度</w:t>
      </w:r>
      <w:bookmarkEnd w:id="11"/>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财政自给能力是各级政府不依赖上级财政援助，独立地为本级支出筹措收入的能力。财政自给度用地方政府一般公共预算内收入占一般公共预算内支出的比重来表示，不仅在一定程度上展示了政府财力，还能反映当地政府对财政资金使用的自由程度，能有效判断一个城市发展健康与否。财政自给度是衡量财政分权程度的重要指标，也是影响财政教育投入的重要因素，地方政府依据现有财力结合当地居民的偏好分配财政资金，财政分权才能保持效率。政府财政自给度越高，地方财政自我发展能力越强，自有财力越大，用于财政教育支出的资金越充裕。</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2016年，上海市的财政自给度高于华东地区其他省份，达到92.59%，其财政教育支出的增长速度也是华东地区最高的，为9.60%；2002年至2016年，除个别年份外，江西省的财政自给度均为最低，其财政教育支出在华东地区的占比在2002年至2010年也是最低，2010年，江西省的财政自给度为40.46%，财政教育支出占比为8.10%。对于上海市、江苏省、浙江省而言，其财政自给度相对较高，一般公共预算内的收入较多，用于人才引进与培养的资金也就比较充足，财政教育支出的规模较大。而对于安徽省、福建省、江西省、山东省而言，其财政自给能力相对较低，即使想促进教育事业的发展，也没有足够的资金用于加大财政教育的支出。因而，政府财政自给度与财政教育支出有一定的关系。</w:t>
      </w:r>
    </w:p>
    <w:p>
      <w:pPr>
        <w:spacing w:line="360" w:lineRule="auto"/>
        <w:ind w:firstLine="480" w:firstLineChars="200"/>
        <w:rPr>
          <w:bCs/>
          <w:color w:val="000000" w:themeColor="text1"/>
          <w:sz w:val="24"/>
          <w14:textFill>
            <w14:solidFill>
              <w14:schemeClr w14:val="tx1"/>
            </w14:solidFill>
          </w14:textFill>
        </w:rPr>
      </w:pPr>
    </w:p>
    <w:p>
      <w:pPr>
        <w:spacing w:line="360" w:lineRule="auto"/>
        <w:outlineLvl w:val="1"/>
        <w:rPr>
          <w:rFonts w:ascii="黑体" w:hAnsi="黑体" w:eastAsia="黑体"/>
          <w:bCs/>
          <w:color w:val="000000" w:themeColor="text1"/>
          <w:sz w:val="24"/>
          <w14:textFill>
            <w14:solidFill>
              <w14:schemeClr w14:val="tx1"/>
            </w14:solidFill>
          </w14:textFill>
        </w:rPr>
      </w:pPr>
      <w:bookmarkStart w:id="12" w:name="_Toc515369607"/>
      <w:r>
        <w:rPr>
          <w:rFonts w:hint="eastAsia" w:ascii="黑体" w:hAnsi="黑体" w:eastAsia="黑体"/>
          <w:bCs/>
          <w:color w:val="000000" w:themeColor="text1"/>
          <w:sz w:val="24"/>
          <w14:textFill>
            <w14:solidFill>
              <w14:schemeClr w14:val="tx1"/>
            </w14:solidFill>
          </w14:textFill>
        </w:rPr>
        <w:t>3.4  经济发展水平</w:t>
      </w:r>
      <w:bookmarkEnd w:id="12"/>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研究各地区财政教育支出为何存在差异时，不容忽视的便是经济发展水平这一因素，以人均地区生产总值衡量经济发展水平，各地经济的发展程度不同，对于教育的支持力度也不一样。一般认为，一个地区的经济发展水平对教育支出起着同方向的作用，经济发展水平越高，用于教育支出的资金越多；而教育支出的增加又会进一步促进当地经济的发展，从而在两者间形成良性循环，因而各地政府在发展经济的同时，也会加大对教育事业的重视。</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2002至2016年，华东地区经济发展水平最高的始终是上海市，最低的始终是安徽省；相应地，上海市的人均财政教育支出也一直最多，安徽省的最少。2016年，华东地区的人均地区生产总值（元/人）依次为：上海市113615，江苏省95257，浙江省83538，福建省73951，山东省67706，江西省40106，安徽省39092；人均财政教育支出（元/人）依次为：上海市3475，浙江省2326，江苏省2304，福建省2037，江西省1849，山东省1836，安徽省1470。从这些数据可以明显看出，华东地区经济发展水平与财政教育支出之间存在一定关系。随着经济的不断发展，华东地区对人力资源的需求越来越大，各省市也日益重视教育的投入与人才的培养。</w:t>
      </w:r>
    </w:p>
    <w:p>
      <w:pPr>
        <w:spacing w:line="360" w:lineRule="auto"/>
        <w:outlineLvl w:val="1"/>
        <w:rPr>
          <w:rFonts w:ascii="黑体" w:hAnsi="黑体" w:eastAsia="黑体"/>
          <w:bCs/>
          <w:color w:val="000000" w:themeColor="text1"/>
          <w:sz w:val="24"/>
          <w14:textFill>
            <w14:solidFill>
              <w14:schemeClr w14:val="tx1"/>
            </w14:solidFill>
          </w14:textFill>
        </w:rPr>
      </w:pPr>
      <w:bookmarkStart w:id="13" w:name="_Toc515369608"/>
      <w:r>
        <w:rPr>
          <w:rFonts w:hint="eastAsia" w:ascii="黑体" w:hAnsi="黑体" w:eastAsia="黑体"/>
          <w:bCs/>
          <w:color w:val="000000" w:themeColor="text1"/>
          <w:sz w:val="24"/>
          <w14:textFill>
            <w14:solidFill>
              <w14:schemeClr w14:val="tx1"/>
            </w14:solidFill>
          </w14:textFill>
        </w:rPr>
        <w:t>3.5  受教育人口数</w:t>
      </w:r>
      <w:bookmarkEnd w:id="13"/>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教育是为人民服务的公共品，因而在研究华东地区财政教育支出规模差异的影响因素时，应将人口因素考虑在内。人口规模对财政教育支出的影响是最明显的，各地区需要有足够的财政教育支出来促进学前教育、义务教育、高等教育、特殊教育等的发展，随着教育人口数量的增加，各地方财政教育支出必然同步增加以满足教育需求。人口结构对财政教育支出也是有一定影响的，不同的地区有着不同的人口结构，教育适龄人口的数量不一样，各地的财政教育支出规模也不尽相同。</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2002年至2016年，华东地区受教育人口数最多的是始终是山东省，最少的始终是上海；相应地，从财政教育支出占财政支出的比重来看，山东省的占比也是最高，2016年为20.86%，上海市的占比最低为12.15%。就教育人口数量与财政教育支出的关系来看，这一现象能得到很好解释。山东省、江苏省、安徽省、浙江省的教育人口数量相对较多，对财政教育支出的需求较大，要求政府投入较多的公共资源以提高教育质量，当地政府的财政教育支出就比较多。</w:t>
      </w:r>
    </w:p>
    <w:p>
      <w:pPr>
        <w:spacing w:before="379" w:beforeLines="100" w:after="379" w:afterLines="100" w:line="360" w:lineRule="auto"/>
        <w:outlineLvl w:val="0"/>
        <w:rPr>
          <w:rFonts w:ascii="黑体" w:hAnsi="宋体" w:eastAsia="黑体"/>
          <w:bCs/>
          <w:color w:val="000000" w:themeColor="text1"/>
          <w:sz w:val="28"/>
          <w14:textFill>
            <w14:solidFill>
              <w14:schemeClr w14:val="tx1"/>
            </w14:solidFill>
          </w14:textFill>
        </w:rPr>
      </w:pPr>
      <w:bookmarkStart w:id="14" w:name="_Toc515369609"/>
      <w:r>
        <w:rPr>
          <w:rFonts w:hint="eastAsia" w:ascii="黑体" w:hAnsi="宋体" w:eastAsia="黑体"/>
          <w:bCs/>
          <w:color w:val="000000" w:themeColor="text1"/>
          <w:sz w:val="28"/>
          <w14:textFill>
            <w14:solidFill>
              <w14:schemeClr w14:val="tx1"/>
            </w14:solidFill>
          </w14:textFill>
        </w:rPr>
        <w:t>4  华东地区财政教育支出规模差异影响因素实证分析</w:t>
      </w:r>
      <w:bookmarkEnd w:id="14"/>
    </w:p>
    <w:p>
      <w:pPr>
        <w:spacing w:line="360" w:lineRule="auto"/>
        <w:outlineLvl w:val="1"/>
        <w:rPr>
          <w:rFonts w:ascii="黑体" w:hAnsi="黑体" w:eastAsia="黑体"/>
          <w:bCs/>
          <w:color w:val="000000" w:themeColor="text1"/>
          <w:sz w:val="24"/>
          <w14:textFill>
            <w14:solidFill>
              <w14:schemeClr w14:val="tx1"/>
            </w14:solidFill>
          </w14:textFill>
        </w:rPr>
      </w:pPr>
      <w:bookmarkStart w:id="15" w:name="_Toc515369610"/>
      <w:r>
        <w:rPr>
          <w:rFonts w:hint="eastAsia" w:ascii="黑体" w:hAnsi="黑体" w:eastAsia="黑体"/>
          <w:bCs/>
          <w:color w:val="000000" w:themeColor="text1"/>
          <w:sz w:val="24"/>
          <w14:textFill>
            <w14:solidFill>
              <w14:schemeClr w14:val="tx1"/>
            </w14:solidFill>
          </w14:textFill>
        </w:rPr>
        <w:t>4.1  模型构建</w:t>
      </w:r>
      <w:bookmarkEnd w:id="15"/>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建立计量模型如下：</w:t>
      </w:r>
    </w:p>
    <w:p>
      <w:pPr>
        <w:spacing w:before="379" w:beforeLines="100" w:after="379" w:afterLines="100" w:line="360" w:lineRule="auto"/>
        <w:ind w:firstLine="480" w:firstLineChars="200"/>
        <w:rPr>
          <w:bCs/>
          <w:color w:val="000000" w:themeColor="text1"/>
          <w:sz w:val="24"/>
          <w:vertAlign w:val="subscript"/>
          <w14:textFill>
            <w14:solidFill>
              <w14:schemeClr w14:val="tx1"/>
            </w14:solidFill>
          </w14:textFill>
        </w:rPr>
      </w:pPr>
      <w:r>
        <w:rPr>
          <w:bCs/>
          <w:color w:val="000000" w:themeColor="text1"/>
          <w:position w:val="-12"/>
          <w:sz w:val="24"/>
          <w14:textFill>
            <w14:solidFill>
              <w14:schemeClr w14:val="tx1"/>
            </w14:solidFill>
          </w14:textFill>
        </w:rPr>
        <w:object>
          <v:shape id="_x0000_i1025" o:spt="75" type="#_x0000_t75" style="height:18pt;width:384pt;" o:ole="t" filled="f" o:preferrelative="t" stroked="f" coordsize="21600,21600">
            <v:path/>
            <v:fill on="f" focussize="0,0"/>
            <v:stroke on="f" joinstyle="miter"/>
            <v:imagedata r:id="rId21" o:title=""/>
            <o:lock v:ext="edit" aspectratio="t"/>
            <w10:wrap type="none"/>
            <w10:anchorlock/>
          </v:shape>
          <o:OLEObject Type="Embed" ProgID="Equation.3" ShapeID="_x0000_i1025" DrawAspect="Content" ObjectID="_1468075725" r:id="rId20">
            <o:LockedField>false</o:LockedField>
          </o:OLEObject>
        </w:objec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这里使用的是2002至2016年上海、江苏、浙江、安徽、福建、江西、山东的省级面板数据。下标i和t分别代表第i个省份和第t年，ε为模型的误差项。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被解释变量Y由地方政府财政教育支出占当地财政支出的比重表示，代表各地区的财政教育支出份额。FQ为地方财政一般预算支出占全国财政支出比重，衡量财政分权程度；JZ为各地外商投资总额占全国外商投资总额的比重，衡量地方政府竞争程度；ZJ为地方政府一般公共预算收入占一般公共预算支出比重，衡量政府财政自给度；GDP为人均地区生产总值</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代表各地区经济发展水平</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为消除价格的影响，对其进行了人均国内生产总值指数平减；RK为6岁以上人口，用来衡量各地区的受教育人口数量。</w:t>
      </w:r>
      <w:r>
        <w:rPr>
          <w:rFonts w:hint="eastAsia"/>
          <w:bCs/>
          <w:color w:val="000000" w:themeColor="text1"/>
          <w:sz w:val="24"/>
          <w14:textFill>
            <w14:solidFill>
              <w14:schemeClr w14:val="tx1"/>
            </w14:solidFill>
          </w14:textFill>
        </w:rPr>
        <w:t>为消除异方差影响，以上变量全</w:t>
      </w:r>
      <w:r>
        <w:rPr>
          <w:bCs/>
          <w:color w:val="000000" w:themeColor="text1"/>
          <w:sz w:val="24"/>
          <w14:textFill>
            <w14:solidFill>
              <w14:schemeClr w14:val="tx1"/>
            </w14:solidFill>
          </w14:textFill>
        </w:rPr>
        <w:t>取自然对数形式</w:t>
      </w:r>
      <w:r>
        <w:rPr>
          <w:rFonts w:hint="eastAsia"/>
          <w:bCs/>
          <w:color w:val="000000" w:themeColor="text1"/>
          <w:sz w:val="24"/>
          <w14:textFill>
            <w14:solidFill>
              <w14:schemeClr w14:val="tx1"/>
            </w14:solidFill>
          </w14:textFill>
        </w:rPr>
        <w:t>。</w:t>
      </w:r>
    </w:p>
    <w:p>
      <w:pPr>
        <w:spacing w:line="360" w:lineRule="auto"/>
        <w:outlineLvl w:val="1"/>
        <w:rPr>
          <w:rFonts w:ascii="黑体" w:hAnsi="黑体" w:eastAsia="黑体"/>
          <w:color w:val="000000" w:themeColor="text1"/>
          <w:sz w:val="28"/>
          <w:szCs w:val="28"/>
          <w14:textFill>
            <w14:solidFill>
              <w14:schemeClr w14:val="tx1"/>
            </w14:solidFill>
          </w14:textFill>
        </w:rPr>
      </w:pPr>
      <w:bookmarkStart w:id="16" w:name="_Toc515369611"/>
      <w:r>
        <w:rPr>
          <w:rFonts w:hint="eastAsia" w:ascii="黑体" w:hAnsi="黑体" w:eastAsia="黑体"/>
          <w:bCs/>
          <w:color w:val="000000" w:themeColor="text1"/>
          <w:sz w:val="24"/>
          <w14:textFill>
            <w14:solidFill>
              <w14:schemeClr w14:val="tx1"/>
            </w14:solidFill>
          </w14:textFill>
        </w:rPr>
        <w:t>4.2  数据来源</w:t>
      </w:r>
      <w:bookmarkEnd w:id="16"/>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所选取数据的样本期为</w:t>
      </w:r>
      <w:r>
        <w:rPr>
          <w:bCs/>
          <w:color w:val="000000" w:themeColor="text1"/>
          <w:sz w:val="24"/>
          <w14:textFill>
            <w14:solidFill>
              <w14:schemeClr w14:val="tx1"/>
            </w14:solidFill>
          </w14:textFill>
        </w:rPr>
        <w:t>200</w:t>
      </w:r>
      <w:r>
        <w:rPr>
          <w:rFonts w:hint="eastAsia"/>
          <w:bCs/>
          <w:color w:val="000000" w:themeColor="text1"/>
          <w:sz w:val="24"/>
          <w14:textFill>
            <w14:solidFill>
              <w14:schemeClr w14:val="tx1"/>
            </w14:solidFill>
          </w14:textFill>
        </w:rPr>
        <w:t>2至</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16年，经济发展水平GDP、教育人口数量RK的数据直接来源于2002年至2017年的《中国统计年鉴》，财政教育投入Y是根据《2017年山东省统计年鉴》中地方财政教育支出、财政支出的有关数据计算而得；财政分权程度FQ由《中国统计年鉴》中地方财政一般预算支出、全国财政支出的有关数据计算而得；政府竞争程度JZ由《中国统计年鉴》中各地外商投资总额、全国外商投资总额的有关数据计算而得；政府财政自给度ZJ以《中国统计年鉴》中地方政府财政一般预算收入、地方政府一般预算支出的有关数据计算而得。</w:t>
      </w:r>
    </w:p>
    <w:p>
      <w:pPr>
        <w:spacing w:line="360" w:lineRule="auto"/>
        <w:outlineLvl w:val="1"/>
        <w:rPr>
          <w:rFonts w:ascii="黑体" w:hAnsi="黑体" w:eastAsia="黑体"/>
          <w:bCs/>
          <w:color w:val="000000" w:themeColor="text1"/>
          <w:sz w:val="24"/>
          <w14:textFill>
            <w14:solidFill>
              <w14:schemeClr w14:val="tx1"/>
            </w14:solidFill>
          </w14:textFill>
        </w:rPr>
      </w:pPr>
      <w:bookmarkStart w:id="17" w:name="_Toc515369612"/>
      <w:r>
        <w:rPr>
          <w:rFonts w:hint="eastAsia" w:ascii="黑体" w:hAnsi="黑体" w:eastAsia="黑体"/>
          <w:bCs/>
          <w:color w:val="000000" w:themeColor="text1"/>
          <w:sz w:val="24"/>
          <w14:textFill>
            <w14:solidFill>
              <w14:schemeClr w14:val="tx1"/>
            </w14:solidFill>
          </w14:textFill>
        </w:rPr>
        <w:t>4.3  实证过程</w:t>
      </w:r>
      <w:bookmarkEnd w:id="17"/>
    </w:p>
    <w:p>
      <w:pPr>
        <w:spacing w:after="379" w:afterLines="100"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文使用计量软件EVIEWS，对2002至2016年华东地区财政教育支出规模的影响因素进行多元线性回归，以对数化的财政教育支出投入LNY为因变量，对数化的财政分权程度LNFQ、政府竞争程度LNJZ、政府财政自给度LNZJ、经济发展水平LNGDP、受教育人口数LNRK为自变量，回归结果如表5所示。</w:t>
      </w:r>
    </w:p>
    <w:p>
      <w:pPr>
        <w:ind w:firstLine="420" w:firstLineChars="20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表5 财政教育支出的影响因素分析</w:t>
      </w:r>
    </w:p>
    <w:tbl>
      <w:tblPr>
        <w:tblStyle w:val="13"/>
        <w:tblW w:w="8946"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2"/>
        <w:gridCol w:w="1813"/>
        <w:gridCol w:w="2763"/>
        <w:gridCol w:w="1254"/>
        <w:gridCol w:w="107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42" w:type="dxa"/>
            <w:tcBorders>
              <w:bottom w:val="single" w:color="auto" w:sz="4" w:space="0"/>
            </w:tcBorders>
            <w:shd w:val="clear" w:color="auto" w:fill="auto"/>
            <w:vAlign w:val="center"/>
          </w:tcPr>
          <w:p>
            <w:pPr>
              <w:widowControl/>
              <w:jc w:val="center"/>
              <w:rPr>
                <w:bCs/>
                <w:color w:val="000000"/>
                <w:kern w:val="0"/>
                <w:szCs w:val="21"/>
              </w:rPr>
            </w:pPr>
            <w:bookmarkStart w:id="18" w:name="_Toc515369613"/>
            <w:r>
              <w:rPr>
                <w:rFonts w:hint="eastAsia"/>
                <w:bCs/>
                <w:color w:val="000000"/>
                <w:kern w:val="0"/>
                <w:szCs w:val="21"/>
              </w:rPr>
              <w:t>Variable</w:t>
            </w:r>
          </w:p>
        </w:tc>
        <w:tc>
          <w:tcPr>
            <w:tcW w:w="1813" w:type="dxa"/>
            <w:tcBorders>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Coefficient</w:t>
            </w:r>
          </w:p>
        </w:tc>
        <w:tc>
          <w:tcPr>
            <w:tcW w:w="2763" w:type="dxa"/>
            <w:tcBorders>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Std. Error</w:t>
            </w:r>
          </w:p>
        </w:tc>
        <w:tc>
          <w:tcPr>
            <w:tcW w:w="1254" w:type="dxa"/>
            <w:tcBorders>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t-Statistic</w:t>
            </w:r>
          </w:p>
        </w:tc>
        <w:tc>
          <w:tcPr>
            <w:tcW w:w="1074" w:type="dxa"/>
            <w:tcBorders>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 xml:space="preserve">Prob.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042" w:type="dxa"/>
            <w:tcBorders>
              <w:top w:val="single" w:color="auto" w:sz="4" w:space="0"/>
              <w:bottom w:val="nil"/>
            </w:tcBorders>
            <w:shd w:val="clear" w:color="auto" w:fill="auto"/>
            <w:vAlign w:val="center"/>
          </w:tcPr>
          <w:p>
            <w:pPr>
              <w:widowControl/>
              <w:jc w:val="center"/>
              <w:rPr>
                <w:bCs/>
                <w:color w:val="000000"/>
                <w:kern w:val="0"/>
                <w:szCs w:val="21"/>
              </w:rPr>
            </w:pPr>
            <w:r>
              <w:rPr>
                <w:rFonts w:hint="eastAsia"/>
                <w:bCs/>
                <w:color w:val="000000"/>
                <w:kern w:val="0"/>
                <w:szCs w:val="21"/>
              </w:rPr>
              <w:t>C</w:t>
            </w:r>
          </w:p>
        </w:tc>
        <w:tc>
          <w:tcPr>
            <w:tcW w:w="1813" w:type="dxa"/>
            <w:tcBorders>
              <w:top w:val="single" w:color="auto" w:sz="4" w:space="0"/>
              <w:bottom w:val="nil"/>
            </w:tcBorders>
            <w:shd w:val="clear" w:color="auto" w:fill="auto"/>
            <w:vAlign w:val="center"/>
          </w:tcPr>
          <w:p>
            <w:pPr>
              <w:widowControl/>
              <w:jc w:val="right"/>
              <w:rPr>
                <w:bCs/>
                <w:color w:val="000000"/>
                <w:kern w:val="0"/>
                <w:szCs w:val="21"/>
              </w:rPr>
            </w:pPr>
            <w:r>
              <w:rPr>
                <w:rFonts w:hint="eastAsia"/>
                <w:bCs/>
                <w:color w:val="000000"/>
                <w:kern w:val="0"/>
                <w:szCs w:val="21"/>
              </w:rPr>
              <w:t>-14.94445</w:t>
            </w:r>
          </w:p>
        </w:tc>
        <w:tc>
          <w:tcPr>
            <w:tcW w:w="2763" w:type="dxa"/>
            <w:tcBorders>
              <w:top w:val="single" w:color="auto" w:sz="4" w:space="0"/>
              <w:bottom w:val="nil"/>
            </w:tcBorders>
            <w:shd w:val="clear" w:color="auto" w:fill="auto"/>
            <w:vAlign w:val="center"/>
          </w:tcPr>
          <w:p>
            <w:pPr>
              <w:widowControl/>
              <w:jc w:val="center"/>
              <w:rPr>
                <w:bCs/>
                <w:color w:val="000000"/>
                <w:kern w:val="0"/>
                <w:szCs w:val="21"/>
              </w:rPr>
            </w:pPr>
            <w:r>
              <w:rPr>
                <w:rFonts w:hint="eastAsia"/>
                <w:bCs/>
                <w:color w:val="000000"/>
                <w:kern w:val="0"/>
                <w:szCs w:val="21"/>
              </w:rPr>
              <w:t>9.428322</w:t>
            </w:r>
          </w:p>
        </w:tc>
        <w:tc>
          <w:tcPr>
            <w:tcW w:w="1254" w:type="dxa"/>
            <w:tcBorders>
              <w:top w:val="single" w:color="auto" w:sz="4" w:space="0"/>
              <w:bottom w:val="nil"/>
            </w:tcBorders>
            <w:shd w:val="clear" w:color="auto" w:fill="auto"/>
            <w:vAlign w:val="center"/>
          </w:tcPr>
          <w:p>
            <w:pPr>
              <w:widowControl/>
              <w:jc w:val="center"/>
              <w:rPr>
                <w:bCs/>
                <w:color w:val="000000"/>
                <w:kern w:val="0"/>
                <w:szCs w:val="21"/>
              </w:rPr>
            </w:pPr>
            <w:r>
              <w:rPr>
                <w:rFonts w:hint="eastAsia"/>
                <w:bCs/>
                <w:color w:val="000000"/>
                <w:kern w:val="0"/>
                <w:szCs w:val="21"/>
              </w:rPr>
              <w:t>-1.585059</w:t>
            </w:r>
          </w:p>
        </w:tc>
        <w:tc>
          <w:tcPr>
            <w:tcW w:w="1074" w:type="dxa"/>
            <w:tcBorders>
              <w:top w:val="single" w:color="auto" w:sz="4" w:space="0"/>
              <w:bottom w:val="nil"/>
            </w:tcBorders>
            <w:shd w:val="clear" w:color="auto" w:fill="auto"/>
            <w:vAlign w:val="center"/>
          </w:tcPr>
          <w:p>
            <w:pPr>
              <w:widowControl/>
              <w:jc w:val="center"/>
              <w:rPr>
                <w:bCs/>
                <w:color w:val="000000"/>
                <w:kern w:val="0"/>
                <w:szCs w:val="21"/>
              </w:rPr>
            </w:pPr>
            <w:r>
              <w:rPr>
                <w:rFonts w:hint="eastAsia"/>
                <w:bCs/>
                <w:color w:val="000000"/>
                <w:kern w:val="0"/>
                <w:szCs w:val="21"/>
              </w:rPr>
              <w:t>0.1161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042"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LNFQ</w:t>
            </w:r>
          </w:p>
        </w:tc>
        <w:tc>
          <w:tcPr>
            <w:tcW w:w="1813" w:type="dxa"/>
            <w:tcBorders>
              <w:top w:val="nil"/>
              <w:bottom w:val="nil"/>
            </w:tcBorders>
            <w:shd w:val="clear" w:color="auto" w:fill="auto"/>
            <w:vAlign w:val="center"/>
          </w:tcPr>
          <w:p>
            <w:pPr>
              <w:widowControl/>
              <w:jc w:val="right"/>
              <w:rPr>
                <w:bCs/>
                <w:color w:val="000000"/>
                <w:kern w:val="0"/>
                <w:szCs w:val="21"/>
              </w:rPr>
            </w:pPr>
            <w:r>
              <w:rPr>
                <w:rFonts w:hint="eastAsia"/>
                <w:bCs/>
                <w:color w:val="000000"/>
                <w:kern w:val="0"/>
                <w:szCs w:val="21"/>
              </w:rPr>
              <w:t>-0.946110</w:t>
            </w:r>
          </w:p>
        </w:tc>
        <w:tc>
          <w:tcPr>
            <w:tcW w:w="2763"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0.265185</w:t>
            </w:r>
          </w:p>
        </w:tc>
        <w:tc>
          <w:tcPr>
            <w:tcW w:w="125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-3.567731</w:t>
            </w:r>
          </w:p>
        </w:tc>
        <w:tc>
          <w:tcPr>
            <w:tcW w:w="107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 xml:space="preserve">0.0006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042"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LNJZ</w:t>
            </w:r>
          </w:p>
        </w:tc>
        <w:tc>
          <w:tcPr>
            <w:tcW w:w="1813" w:type="dxa"/>
            <w:tcBorders>
              <w:top w:val="nil"/>
              <w:bottom w:val="nil"/>
            </w:tcBorders>
            <w:shd w:val="clear" w:color="auto" w:fill="auto"/>
            <w:vAlign w:val="center"/>
          </w:tcPr>
          <w:p>
            <w:pPr>
              <w:widowControl/>
              <w:jc w:val="right"/>
              <w:rPr>
                <w:bCs/>
                <w:color w:val="000000"/>
                <w:kern w:val="0"/>
                <w:szCs w:val="21"/>
              </w:rPr>
            </w:pPr>
            <w:r>
              <w:rPr>
                <w:rFonts w:hint="eastAsia"/>
                <w:bCs/>
                <w:color w:val="000000"/>
                <w:kern w:val="0"/>
                <w:szCs w:val="21"/>
              </w:rPr>
              <w:t>-0.211244</w:t>
            </w:r>
          </w:p>
        </w:tc>
        <w:tc>
          <w:tcPr>
            <w:tcW w:w="2763"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0.080842</w:t>
            </w:r>
          </w:p>
        </w:tc>
        <w:tc>
          <w:tcPr>
            <w:tcW w:w="125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-2.613043</w:t>
            </w:r>
          </w:p>
        </w:tc>
        <w:tc>
          <w:tcPr>
            <w:tcW w:w="107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 xml:space="preserve">0.0104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042"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LNZJ</w:t>
            </w:r>
          </w:p>
        </w:tc>
        <w:tc>
          <w:tcPr>
            <w:tcW w:w="1813" w:type="dxa"/>
            <w:tcBorders>
              <w:top w:val="nil"/>
              <w:bottom w:val="nil"/>
            </w:tcBorders>
            <w:shd w:val="clear" w:color="auto" w:fill="auto"/>
            <w:vAlign w:val="center"/>
          </w:tcPr>
          <w:p>
            <w:pPr>
              <w:widowControl/>
              <w:jc w:val="right"/>
              <w:rPr>
                <w:bCs/>
                <w:color w:val="000000"/>
                <w:kern w:val="0"/>
                <w:szCs w:val="21"/>
              </w:rPr>
            </w:pPr>
            <w:r>
              <w:rPr>
                <w:rFonts w:hint="eastAsia"/>
                <w:bCs/>
                <w:color w:val="000000"/>
                <w:kern w:val="0"/>
                <w:szCs w:val="21"/>
              </w:rPr>
              <w:t>0.544493</w:t>
            </w:r>
          </w:p>
        </w:tc>
        <w:tc>
          <w:tcPr>
            <w:tcW w:w="2763"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0.248895</w:t>
            </w:r>
          </w:p>
        </w:tc>
        <w:tc>
          <w:tcPr>
            <w:tcW w:w="125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2.187641</w:t>
            </w:r>
          </w:p>
        </w:tc>
        <w:tc>
          <w:tcPr>
            <w:tcW w:w="107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 xml:space="preserve">0.0310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trHeight w:val="270" w:hRule="atLeast"/>
        </w:trPr>
        <w:tc>
          <w:tcPr>
            <w:tcW w:w="2042"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LNGDP</w:t>
            </w:r>
          </w:p>
        </w:tc>
        <w:tc>
          <w:tcPr>
            <w:tcW w:w="1813" w:type="dxa"/>
            <w:tcBorders>
              <w:top w:val="nil"/>
              <w:bottom w:val="nil"/>
            </w:tcBorders>
            <w:shd w:val="clear" w:color="auto" w:fill="auto"/>
            <w:vAlign w:val="center"/>
          </w:tcPr>
          <w:p>
            <w:pPr>
              <w:widowControl/>
              <w:jc w:val="right"/>
              <w:rPr>
                <w:bCs/>
                <w:color w:val="000000"/>
                <w:kern w:val="0"/>
                <w:szCs w:val="21"/>
              </w:rPr>
            </w:pPr>
            <w:r>
              <w:rPr>
                <w:rFonts w:hint="eastAsia"/>
                <w:bCs/>
                <w:color w:val="000000"/>
                <w:kern w:val="0"/>
                <w:szCs w:val="21"/>
              </w:rPr>
              <w:t>1.485249</w:t>
            </w:r>
          </w:p>
        </w:tc>
        <w:tc>
          <w:tcPr>
            <w:tcW w:w="2763"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0.644192</w:t>
            </w:r>
          </w:p>
        </w:tc>
        <w:tc>
          <w:tcPr>
            <w:tcW w:w="125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2.305601</w:t>
            </w:r>
          </w:p>
        </w:tc>
        <w:tc>
          <w:tcPr>
            <w:tcW w:w="1074" w:type="dxa"/>
            <w:tcBorders>
              <w:top w:val="nil"/>
              <w:bottom w:val="nil"/>
            </w:tcBorders>
            <w:shd w:val="clear" w:color="auto" w:fill="auto"/>
            <w:vAlign w:val="center"/>
          </w:tcPr>
          <w:p>
            <w:pPr>
              <w:widowControl/>
              <w:jc w:val="center"/>
              <w:rPr>
                <w:bCs/>
                <w:color w:val="000000"/>
                <w:kern w:val="0"/>
                <w:szCs w:val="21"/>
              </w:rPr>
            </w:pPr>
            <w:r>
              <w:rPr>
                <w:rFonts w:hint="eastAsia"/>
                <w:bCs/>
                <w:color w:val="000000"/>
                <w:kern w:val="0"/>
                <w:szCs w:val="21"/>
              </w:rPr>
              <w:t xml:space="preserve">0.0232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042" w:type="dxa"/>
            <w:tcBorders>
              <w:top w:val="nil"/>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LNRK</w:t>
            </w:r>
          </w:p>
        </w:tc>
        <w:tc>
          <w:tcPr>
            <w:tcW w:w="1813" w:type="dxa"/>
            <w:tcBorders>
              <w:top w:val="nil"/>
              <w:bottom w:val="single" w:color="auto" w:sz="4" w:space="0"/>
            </w:tcBorders>
            <w:shd w:val="clear" w:color="auto" w:fill="auto"/>
            <w:vAlign w:val="center"/>
          </w:tcPr>
          <w:p>
            <w:pPr>
              <w:widowControl/>
              <w:jc w:val="right"/>
              <w:rPr>
                <w:bCs/>
                <w:color w:val="000000"/>
                <w:kern w:val="0"/>
                <w:szCs w:val="21"/>
              </w:rPr>
            </w:pPr>
            <w:r>
              <w:rPr>
                <w:rFonts w:hint="eastAsia"/>
                <w:bCs/>
                <w:color w:val="000000"/>
                <w:kern w:val="0"/>
                <w:szCs w:val="21"/>
              </w:rPr>
              <w:t>1.437978</w:t>
            </w:r>
          </w:p>
        </w:tc>
        <w:tc>
          <w:tcPr>
            <w:tcW w:w="2763" w:type="dxa"/>
            <w:tcBorders>
              <w:top w:val="nil"/>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1.088195</w:t>
            </w:r>
          </w:p>
        </w:tc>
        <w:tc>
          <w:tcPr>
            <w:tcW w:w="1254" w:type="dxa"/>
            <w:tcBorders>
              <w:top w:val="nil"/>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1.321435</w:t>
            </w:r>
          </w:p>
        </w:tc>
        <w:tc>
          <w:tcPr>
            <w:tcW w:w="1074" w:type="dxa"/>
            <w:tcBorders>
              <w:top w:val="nil"/>
              <w:bottom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 xml:space="preserve">0.1894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042" w:type="dxa"/>
            <w:tcBorders>
              <w:top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R-squared</w:t>
            </w:r>
          </w:p>
        </w:tc>
        <w:tc>
          <w:tcPr>
            <w:tcW w:w="1813" w:type="dxa"/>
            <w:tcBorders>
              <w:top w:val="single" w:color="auto" w:sz="4" w:space="0"/>
            </w:tcBorders>
            <w:shd w:val="clear" w:color="auto" w:fill="auto"/>
            <w:vAlign w:val="center"/>
          </w:tcPr>
          <w:p>
            <w:pPr>
              <w:widowControl/>
              <w:jc w:val="right"/>
              <w:rPr>
                <w:bCs/>
                <w:color w:val="000000"/>
                <w:kern w:val="0"/>
                <w:szCs w:val="21"/>
              </w:rPr>
            </w:pPr>
            <w:r>
              <w:rPr>
                <w:rFonts w:hint="eastAsia"/>
                <w:bCs/>
                <w:color w:val="000000"/>
                <w:kern w:val="0"/>
                <w:szCs w:val="21"/>
              </w:rPr>
              <w:t xml:space="preserve">0.939168 </w:t>
            </w:r>
          </w:p>
        </w:tc>
        <w:tc>
          <w:tcPr>
            <w:tcW w:w="4017" w:type="dxa"/>
            <w:gridSpan w:val="2"/>
            <w:tcBorders>
              <w:top w:val="single" w:color="auto" w:sz="4" w:space="0"/>
            </w:tcBorders>
            <w:shd w:val="clear" w:color="auto" w:fill="auto"/>
            <w:vAlign w:val="center"/>
          </w:tcPr>
          <w:p>
            <w:pPr>
              <w:widowControl/>
              <w:jc w:val="center"/>
              <w:rPr>
                <w:bCs/>
                <w:color w:val="000000"/>
                <w:kern w:val="0"/>
                <w:szCs w:val="21"/>
              </w:rPr>
            </w:pPr>
            <w:r>
              <w:rPr>
                <w:rFonts w:hint="eastAsia"/>
                <w:bCs/>
                <w:color w:val="000000"/>
                <w:kern w:val="0"/>
                <w:szCs w:val="21"/>
              </w:rPr>
              <w:t>Mean dependent var</w:t>
            </w:r>
          </w:p>
        </w:tc>
        <w:tc>
          <w:tcPr>
            <w:tcW w:w="1074" w:type="dxa"/>
            <w:tcBorders>
              <w:top w:val="single" w:color="auto" w:sz="4" w:space="0"/>
            </w:tcBorders>
            <w:shd w:val="clear" w:color="auto" w:fill="auto"/>
            <w:vAlign w:val="center"/>
          </w:tcPr>
          <w:p>
            <w:pPr>
              <w:widowControl/>
              <w:jc w:val="right"/>
              <w:rPr>
                <w:bCs/>
                <w:color w:val="000000"/>
                <w:kern w:val="0"/>
                <w:szCs w:val="21"/>
              </w:rPr>
            </w:pPr>
            <w:r>
              <w:rPr>
                <w:rFonts w:hint="eastAsia"/>
                <w:bCs/>
                <w:color w:val="000000"/>
                <w:kern w:val="0"/>
                <w:szCs w:val="21"/>
              </w:rPr>
              <w:t xml:space="preserve">2.958667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042" w:type="dxa"/>
            <w:shd w:val="clear" w:color="auto" w:fill="auto"/>
            <w:vAlign w:val="center"/>
          </w:tcPr>
          <w:p>
            <w:pPr>
              <w:widowControl/>
              <w:jc w:val="center"/>
              <w:rPr>
                <w:bCs/>
                <w:color w:val="000000"/>
                <w:kern w:val="0"/>
                <w:szCs w:val="21"/>
              </w:rPr>
            </w:pPr>
            <w:r>
              <w:rPr>
                <w:rFonts w:hint="eastAsia"/>
                <w:bCs/>
                <w:color w:val="000000"/>
                <w:kern w:val="0"/>
                <w:szCs w:val="21"/>
              </w:rPr>
              <w:t>Adjusted R-squared</w:t>
            </w:r>
          </w:p>
        </w:tc>
        <w:tc>
          <w:tcPr>
            <w:tcW w:w="1813" w:type="dxa"/>
            <w:shd w:val="clear" w:color="auto" w:fill="auto"/>
            <w:vAlign w:val="center"/>
          </w:tcPr>
          <w:p>
            <w:pPr>
              <w:widowControl/>
              <w:jc w:val="right"/>
              <w:rPr>
                <w:bCs/>
                <w:color w:val="000000"/>
                <w:kern w:val="0"/>
                <w:szCs w:val="21"/>
              </w:rPr>
            </w:pPr>
            <w:r>
              <w:rPr>
                <w:rFonts w:hint="eastAsia"/>
                <w:bCs/>
                <w:color w:val="000000"/>
                <w:kern w:val="0"/>
                <w:szCs w:val="21"/>
              </w:rPr>
              <w:t xml:space="preserve">0.920941 </w:t>
            </w:r>
          </w:p>
        </w:tc>
        <w:tc>
          <w:tcPr>
            <w:tcW w:w="4017" w:type="dxa"/>
            <w:gridSpan w:val="2"/>
            <w:shd w:val="clear" w:color="auto" w:fill="auto"/>
            <w:vAlign w:val="center"/>
          </w:tcPr>
          <w:p>
            <w:pPr>
              <w:widowControl/>
              <w:jc w:val="center"/>
              <w:rPr>
                <w:bCs/>
                <w:color w:val="000000"/>
                <w:kern w:val="0"/>
                <w:szCs w:val="21"/>
              </w:rPr>
            </w:pPr>
            <w:r>
              <w:rPr>
                <w:rFonts w:hint="eastAsia"/>
                <w:bCs/>
                <w:color w:val="000000"/>
                <w:kern w:val="0"/>
                <w:szCs w:val="21"/>
              </w:rPr>
              <w:t>S.D. dependent var</w:t>
            </w:r>
          </w:p>
        </w:tc>
        <w:tc>
          <w:tcPr>
            <w:tcW w:w="1074" w:type="dxa"/>
            <w:shd w:val="clear" w:color="auto" w:fill="auto"/>
            <w:vAlign w:val="center"/>
          </w:tcPr>
          <w:p>
            <w:pPr>
              <w:widowControl/>
              <w:jc w:val="right"/>
              <w:rPr>
                <w:bCs/>
                <w:color w:val="000000"/>
                <w:kern w:val="0"/>
                <w:szCs w:val="21"/>
              </w:rPr>
            </w:pPr>
            <w:r>
              <w:rPr>
                <w:rFonts w:hint="eastAsia"/>
                <w:bCs/>
                <w:color w:val="000000"/>
                <w:kern w:val="0"/>
                <w:szCs w:val="21"/>
              </w:rPr>
              <w:t xml:space="preserve">0.091126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042" w:type="dxa"/>
            <w:shd w:val="clear" w:color="auto" w:fill="auto"/>
            <w:vAlign w:val="center"/>
          </w:tcPr>
          <w:p>
            <w:pPr>
              <w:widowControl/>
              <w:jc w:val="center"/>
              <w:rPr>
                <w:bCs/>
                <w:color w:val="000000"/>
                <w:kern w:val="0"/>
                <w:szCs w:val="21"/>
              </w:rPr>
            </w:pPr>
            <w:r>
              <w:rPr>
                <w:rFonts w:hint="eastAsia"/>
                <w:bCs/>
                <w:color w:val="000000"/>
                <w:kern w:val="0"/>
                <w:szCs w:val="21"/>
              </w:rPr>
              <w:t>E. of regression</w:t>
            </w:r>
          </w:p>
        </w:tc>
        <w:tc>
          <w:tcPr>
            <w:tcW w:w="1813" w:type="dxa"/>
            <w:shd w:val="clear" w:color="auto" w:fill="auto"/>
            <w:vAlign w:val="center"/>
          </w:tcPr>
          <w:p>
            <w:pPr>
              <w:widowControl/>
              <w:jc w:val="right"/>
              <w:rPr>
                <w:bCs/>
                <w:color w:val="000000"/>
                <w:kern w:val="0"/>
                <w:szCs w:val="21"/>
              </w:rPr>
            </w:pPr>
            <w:r>
              <w:rPr>
                <w:rFonts w:hint="eastAsia"/>
                <w:bCs/>
                <w:color w:val="000000"/>
                <w:kern w:val="0"/>
                <w:szCs w:val="21"/>
              </w:rPr>
              <w:t>0.058075</w:t>
            </w:r>
          </w:p>
        </w:tc>
        <w:tc>
          <w:tcPr>
            <w:tcW w:w="4017" w:type="dxa"/>
            <w:gridSpan w:val="2"/>
            <w:shd w:val="clear" w:color="auto" w:fill="auto"/>
            <w:vAlign w:val="center"/>
          </w:tcPr>
          <w:p>
            <w:pPr>
              <w:widowControl/>
              <w:jc w:val="center"/>
              <w:rPr>
                <w:bCs/>
                <w:color w:val="000000"/>
                <w:kern w:val="0"/>
                <w:szCs w:val="21"/>
              </w:rPr>
            </w:pPr>
            <w:r>
              <w:rPr>
                <w:rFonts w:hint="eastAsia"/>
                <w:bCs/>
                <w:color w:val="000000"/>
                <w:kern w:val="0"/>
                <w:szCs w:val="21"/>
              </w:rPr>
              <w:t>Akaike info criterion</w:t>
            </w:r>
          </w:p>
        </w:tc>
        <w:tc>
          <w:tcPr>
            <w:tcW w:w="1074" w:type="dxa"/>
            <w:shd w:val="clear" w:color="auto" w:fill="auto"/>
            <w:vAlign w:val="center"/>
          </w:tcPr>
          <w:p>
            <w:pPr>
              <w:widowControl/>
              <w:jc w:val="right"/>
              <w:rPr>
                <w:bCs/>
                <w:color w:val="000000"/>
                <w:kern w:val="0"/>
                <w:szCs w:val="21"/>
              </w:rPr>
            </w:pPr>
            <w:r>
              <w:rPr>
                <w:rFonts w:hint="eastAsia"/>
                <w:bCs/>
                <w:color w:val="000000"/>
                <w:kern w:val="0"/>
                <w:szCs w:val="21"/>
              </w:rPr>
              <w:t>-2.798709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042" w:type="dxa"/>
            <w:shd w:val="clear" w:color="auto" w:fill="auto"/>
            <w:vAlign w:val="center"/>
          </w:tcPr>
          <w:p>
            <w:pPr>
              <w:widowControl/>
              <w:jc w:val="center"/>
              <w:rPr>
                <w:bCs/>
                <w:color w:val="000000"/>
                <w:kern w:val="0"/>
                <w:szCs w:val="21"/>
              </w:rPr>
            </w:pPr>
            <w:r>
              <w:rPr>
                <w:rFonts w:hint="eastAsia"/>
                <w:bCs/>
                <w:color w:val="000000"/>
                <w:kern w:val="0"/>
                <w:szCs w:val="21"/>
              </w:rPr>
              <w:t>Sum squared resid</w:t>
            </w:r>
          </w:p>
        </w:tc>
        <w:tc>
          <w:tcPr>
            <w:tcW w:w="1813" w:type="dxa"/>
            <w:shd w:val="clear" w:color="auto" w:fill="auto"/>
            <w:vAlign w:val="center"/>
          </w:tcPr>
          <w:p>
            <w:pPr>
              <w:widowControl/>
              <w:jc w:val="right"/>
              <w:rPr>
                <w:bCs/>
                <w:color w:val="000000"/>
                <w:kern w:val="0"/>
                <w:szCs w:val="21"/>
              </w:rPr>
            </w:pPr>
            <w:r>
              <w:rPr>
                <w:rFonts w:hint="eastAsia"/>
                <w:bCs/>
                <w:color w:val="000000"/>
                <w:kern w:val="0"/>
                <w:szCs w:val="21"/>
              </w:rPr>
              <w:t xml:space="preserve">0.333901 </w:t>
            </w:r>
          </w:p>
        </w:tc>
        <w:tc>
          <w:tcPr>
            <w:tcW w:w="4017" w:type="dxa"/>
            <w:gridSpan w:val="2"/>
            <w:shd w:val="clear" w:color="auto" w:fill="auto"/>
            <w:vAlign w:val="center"/>
          </w:tcPr>
          <w:p>
            <w:pPr>
              <w:widowControl/>
              <w:jc w:val="center"/>
              <w:rPr>
                <w:bCs/>
                <w:color w:val="000000"/>
                <w:kern w:val="0"/>
                <w:szCs w:val="21"/>
              </w:rPr>
            </w:pPr>
            <w:r>
              <w:rPr>
                <w:rFonts w:hint="eastAsia"/>
                <w:bCs/>
                <w:color w:val="000000"/>
                <w:kern w:val="0"/>
                <w:szCs w:val="21"/>
              </w:rPr>
              <w:t>Schwarz criterion</w:t>
            </w:r>
          </w:p>
        </w:tc>
        <w:tc>
          <w:tcPr>
            <w:tcW w:w="1074" w:type="dxa"/>
            <w:shd w:val="clear" w:color="auto" w:fill="auto"/>
            <w:vAlign w:val="center"/>
          </w:tcPr>
          <w:p>
            <w:pPr>
              <w:widowControl/>
              <w:jc w:val="right"/>
              <w:rPr>
                <w:bCs/>
                <w:color w:val="000000"/>
                <w:kern w:val="0"/>
                <w:szCs w:val="21"/>
              </w:rPr>
            </w:pPr>
            <w:r>
              <w:rPr>
                <w:rFonts w:hint="eastAsia"/>
                <w:bCs/>
                <w:color w:val="000000"/>
                <w:kern w:val="0"/>
                <w:szCs w:val="21"/>
              </w:rPr>
              <w:t>-2.647054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trHeight w:val="270" w:hRule="atLeast"/>
        </w:trPr>
        <w:tc>
          <w:tcPr>
            <w:tcW w:w="2042" w:type="dxa"/>
            <w:shd w:val="clear" w:color="auto" w:fill="auto"/>
            <w:vAlign w:val="center"/>
          </w:tcPr>
          <w:p>
            <w:pPr>
              <w:widowControl/>
              <w:jc w:val="center"/>
              <w:rPr>
                <w:bCs/>
                <w:color w:val="000000"/>
                <w:kern w:val="0"/>
                <w:szCs w:val="21"/>
              </w:rPr>
            </w:pPr>
            <w:r>
              <w:rPr>
                <w:rFonts w:hint="eastAsia"/>
                <w:bCs/>
                <w:color w:val="000000"/>
                <w:kern w:val="0"/>
                <w:szCs w:val="21"/>
              </w:rPr>
              <w:t>Log likelihood</w:t>
            </w:r>
          </w:p>
        </w:tc>
        <w:tc>
          <w:tcPr>
            <w:tcW w:w="1813" w:type="dxa"/>
            <w:shd w:val="clear" w:color="auto" w:fill="auto"/>
            <w:vAlign w:val="center"/>
          </w:tcPr>
          <w:p>
            <w:pPr>
              <w:widowControl/>
              <w:jc w:val="right"/>
              <w:rPr>
                <w:bCs/>
                <w:color w:val="000000"/>
                <w:kern w:val="0"/>
                <w:szCs w:val="21"/>
              </w:rPr>
            </w:pPr>
            <w:r>
              <w:rPr>
                <w:rFonts w:hint="eastAsia"/>
                <w:bCs/>
                <w:color w:val="000000"/>
                <w:kern w:val="0"/>
                <w:szCs w:val="21"/>
              </w:rPr>
              <w:t>152.9322</w:t>
            </w:r>
          </w:p>
        </w:tc>
        <w:tc>
          <w:tcPr>
            <w:tcW w:w="4017" w:type="dxa"/>
            <w:gridSpan w:val="2"/>
            <w:shd w:val="clear" w:color="auto" w:fill="auto"/>
            <w:vAlign w:val="center"/>
          </w:tcPr>
          <w:p>
            <w:pPr>
              <w:widowControl/>
              <w:jc w:val="center"/>
              <w:rPr>
                <w:bCs/>
                <w:color w:val="000000"/>
                <w:kern w:val="0"/>
                <w:szCs w:val="21"/>
              </w:rPr>
            </w:pPr>
            <w:r>
              <w:rPr>
                <w:rFonts w:hint="eastAsia"/>
                <w:bCs/>
                <w:color w:val="000000"/>
                <w:kern w:val="0"/>
                <w:szCs w:val="21"/>
              </w:rPr>
              <w:t>Hannan-Quinn criter.</w:t>
            </w:r>
          </w:p>
        </w:tc>
        <w:tc>
          <w:tcPr>
            <w:tcW w:w="1074" w:type="dxa"/>
            <w:shd w:val="clear" w:color="auto" w:fill="auto"/>
            <w:vAlign w:val="center"/>
          </w:tcPr>
          <w:p>
            <w:pPr>
              <w:widowControl/>
              <w:jc w:val="right"/>
              <w:rPr>
                <w:bCs/>
                <w:color w:val="000000"/>
                <w:kern w:val="0"/>
                <w:szCs w:val="21"/>
              </w:rPr>
            </w:pPr>
            <w:r>
              <w:rPr>
                <w:rFonts w:hint="eastAsia"/>
                <w:bCs/>
                <w:color w:val="000000"/>
                <w:kern w:val="0"/>
                <w:szCs w:val="21"/>
              </w:rPr>
              <w:t>-2.737255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042" w:type="dxa"/>
            <w:shd w:val="clear" w:color="auto" w:fill="auto"/>
            <w:vAlign w:val="center"/>
          </w:tcPr>
          <w:p>
            <w:pPr>
              <w:widowControl/>
              <w:jc w:val="center"/>
              <w:rPr>
                <w:bCs/>
                <w:color w:val="000000"/>
                <w:kern w:val="0"/>
                <w:szCs w:val="21"/>
              </w:rPr>
            </w:pPr>
            <w:r>
              <w:rPr>
                <w:rFonts w:hint="eastAsia"/>
                <w:bCs/>
                <w:color w:val="000000"/>
                <w:kern w:val="0"/>
                <w:szCs w:val="21"/>
              </w:rPr>
              <w:t>F-statistic</w:t>
            </w:r>
          </w:p>
        </w:tc>
        <w:tc>
          <w:tcPr>
            <w:tcW w:w="1813" w:type="dxa"/>
            <w:shd w:val="clear" w:color="auto" w:fill="auto"/>
            <w:vAlign w:val="center"/>
          </w:tcPr>
          <w:p>
            <w:pPr>
              <w:widowControl/>
              <w:jc w:val="right"/>
              <w:rPr>
                <w:bCs/>
                <w:color w:val="000000"/>
                <w:kern w:val="0"/>
                <w:szCs w:val="21"/>
              </w:rPr>
            </w:pPr>
            <w:r>
              <w:rPr>
                <w:rFonts w:hint="eastAsia"/>
                <w:bCs/>
                <w:color w:val="000000"/>
                <w:kern w:val="0"/>
                <w:szCs w:val="21"/>
              </w:rPr>
              <w:t xml:space="preserve">31.41145 </w:t>
            </w:r>
          </w:p>
        </w:tc>
        <w:tc>
          <w:tcPr>
            <w:tcW w:w="4017" w:type="dxa"/>
            <w:gridSpan w:val="2"/>
            <w:shd w:val="clear" w:color="auto" w:fill="auto"/>
            <w:vAlign w:val="center"/>
          </w:tcPr>
          <w:p>
            <w:pPr>
              <w:widowControl/>
              <w:jc w:val="center"/>
              <w:rPr>
                <w:bCs/>
                <w:color w:val="000000"/>
                <w:kern w:val="0"/>
                <w:szCs w:val="21"/>
              </w:rPr>
            </w:pPr>
            <w:r>
              <w:rPr>
                <w:rFonts w:hint="eastAsia"/>
                <w:bCs/>
                <w:color w:val="000000"/>
                <w:kern w:val="0"/>
                <w:szCs w:val="21"/>
              </w:rPr>
              <w:t>Durbin-Watson stat</w:t>
            </w:r>
          </w:p>
        </w:tc>
        <w:tc>
          <w:tcPr>
            <w:tcW w:w="1074" w:type="dxa"/>
            <w:shd w:val="clear" w:color="auto" w:fill="auto"/>
            <w:vAlign w:val="center"/>
          </w:tcPr>
          <w:p>
            <w:pPr>
              <w:widowControl/>
              <w:jc w:val="right"/>
              <w:rPr>
                <w:bCs/>
                <w:color w:val="000000"/>
                <w:kern w:val="0"/>
                <w:szCs w:val="21"/>
              </w:rPr>
            </w:pPr>
            <w:r>
              <w:rPr>
                <w:rFonts w:hint="eastAsia"/>
                <w:bCs/>
                <w:color w:val="000000"/>
                <w:kern w:val="0"/>
                <w:szCs w:val="21"/>
              </w:rPr>
              <w:t>1.792661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042" w:type="dxa"/>
            <w:shd w:val="clear" w:color="auto" w:fill="auto"/>
            <w:vAlign w:val="center"/>
          </w:tcPr>
          <w:p>
            <w:pPr>
              <w:widowControl/>
              <w:jc w:val="center"/>
              <w:rPr>
                <w:bCs/>
                <w:color w:val="000000"/>
                <w:kern w:val="0"/>
                <w:szCs w:val="21"/>
              </w:rPr>
            </w:pPr>
            <w:r>
              <w:rPr>
                <w:rFonts w:hint="eastAsia"/>
                <w:bCs/>
                <w:color w:val="000000"/>
                <w:kern w:val="0"/>
                <w:szCs w:val="21"/>
              </w:rPr>
              <w:t>Prob(F-statistic)</w:t>
            </w:r>
          </w:p>
        </w:tc>
        <w:tc>
          <w:tcPr>
            <w:tcW w:w="1813" w:type="dxa"/>
            <w:shd w:val="clear" w:color="auto" w:fill="auto"/>
            <w:vAlign w:val="center"/>
          </w:tcPr>
          <w:p>
            <w:pPr>
              <w:widowControl/>
              <w:jc w:val="right"/>
              <w:rPr>
                <w:bCs/>
                <w:color w:val="000000"/>
                <w:kern w:val="0"/>
                <w:szCs w:val="21"/>
              </w:rPr>
            </w:pPr>
            <w:r>
              <w:rPr>
                <w:rFonts w:hint="eastAsia"/>
                <w:bCs/>
                <w:color w:val="000000"/>
                <w:kern w:val="0"/>
                <w:szCs w:val="21"/>
              </w:rPr>
              <w:t xml:space="preserve">0.000000 </w:t>
            </w:r>
          </w:p>
        </w:tc>
        <w:tc>
          <w:tcPr>
            <w:tcW w:w="2763" w:type="dxa"/>
            <w:shd w:val="clear" w:color="auto" w:fill="auto"/>
            <w:vAlign w:val="center"/>
          </w:tcPr>
          <w:p>
            <w:pPr>
              <w:widowControl/>
              <w:jc w:val="center"/>
              <w:rPr>
                <w:bCs/>
                <w:color w:val="000000"/>
                <w:kern w:val="0"/>
                <w:szCs w:val="21"/>
              </w:rPr>
            </w:pPr>
            <w:r>
              <w:rPr>
                <w:rFonts w:hint="eastAsia"/>
                <w:bCs/>
                <w:color w:val="000000"/>
                <w:kern w:val="0"/>
                <w:szCs w:val="21"/>
              </w:rPr>
              <w:t>　</w:t>
            </w:r>
          </w:p>
        </w:tc>
        <w:tc>
          <w:tcPr>
            <w:tcW w:w="1254" w:type="dxa"/>
            <w:shd w:val="clear" w:color="auto" w:fill="auto"/>
            <w:vAlign w:val="center"/>
          </w:tcPr>
          <w:p>
            <w:pPr>
              <w:widowControl/>
              <w:jc w:val="center"/>
              <w:rPr>
                <w:bCs/>
                <w:color w:val="000000"/>
                <w:kern w:val="0"/>
                <w:szCs w:val="21"/>
              </w:rPr>
            </w:pPr>
            <w:r>
              <w:rPr>
                <w:rFonts w:hint="eastAsia"/>
                <w:bCs/>
                <w:color w:val="000000"/>
                <w:kern w:val="0"/>
                <w:szCs w:val="21"/>
              </w:rPr>
              <w:t>　</w:t>
            </w:r>
          </w:p>
        </w:tc>
        <w:tc>
          <w:tcPr>
            <w:tcW w:w="1074" w:type="dxa"/>
            <w:shd w:val="clear" w:color="auto" w:fill="auto"/>
            <w:vAlign w:val="center"/>
          </w:tcPr>
          <w:p>
            <w:pPr>
              <w:widowControl/>
              <w:jc w:val="center"/>
              <w:rPr>
                <w:bCs/>
                <w:color w:val="000000"/>
                <w:kern w:val="0"/>
                <w:szCs w:val="21"/>
              </w:rPr>
            </w:pPr>
            <w:r>
              <w:rPr>
                <w:rFonts w:hint="eastAsia"/>
                <w:bCs/>
                <w:color w:val="000000"/>
                <w:kern w:val="0"/>
                <w:szCs w:val="21"/>
              </w:rPr>
              <w:t>　</w:t>
            </w:r>
          </w:p>
        </w:tc>
      </w:tr>
    </w:tbl>
    <w:p>
      <w:pPr>
        <w:spacing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数据来源</w:t>
      </w:r>
      <w:r>
        <w:rPr>
          <w:rFonts w:hint="eastAsia"/>
          <w:bCs/>
          <w:color w:val="000000" w:themeColor="text1"/>
          <w:szCs w:val="21"/>
          <w14:textFill>
            <w14:solidFill>
              <w14:schemeClr w14:val="tx1"/>
            </w14:solidFill>
          </w14:textFill>
        </w:rPr>
        <w:t>：根据 EVIEWS结果输出而得。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注：</w:t>
      </w:r>
      <w:r>
        <w:rPr>
          <w:color w:val="000000" w:themeColor="text1"/>
          <w:kern w:val="0"/>
          <w:szCs w:val="21"/>
          <w14:textFill>
            <w14:solidFill>
              <w14:schemeClr w14:val="tx1"/>
            </w14:solidFill>
          </w14:textFill>
        </w:rPr>
        <w:t>*p＜0.05</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**p＜0.01</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***p＜0.0</w:t>
      </w:r>
      <w:r>
        <w:rPr>
          <w:rFonts w:hint="eastAsia"/>
          <w:color w:val="000000" w:themeColor="text1"/>
          <w:kern w:val="0"/>
          <w:szCs w:val="21"/>
          <w14:textFill>
            <w14:solidFill>
              <w14:schemeClr w14:val="tx1"/>
            </w14:solidFill>
          </w14:textFill>
        </w:rPr>
        <w:t>0</w:t>
      </w:r>
      <w:r>
        <w:rPr>
          <w:color w:val="000000" w:themeColor="text1"/>
          <w:kern w:val="0"/>
          <w:szCs w:val="21"/>
          <w14:textFill>
            <w14:solidFill>
              <w14:schemeClr w14:val="tx1"/>
            </w14:solidFill>
          </w14:textFill>
        </w:rPr>
        <w:t>1</w:t>
      </w:r>
      <w:r>
        <w:rPr>
          <w:rFonts w:hint="eastAsia"/>
          <w:color w:val="000000" w:themeColor="text1"/>
          <w:kern w:val="0"/>
          <w:szCs w:val="21"/>
          <w14:textFill>
            <w14:solidFill>
              <w14:schemeClr w14:val="tx1"/>
            </w14:solidFill>
          </w14:textFill>
        </w:rPr>
        <w:t>。财政分权程度FQ、政府竞争度JZ、财政自给度ZJ、经济发展水平GDP对Y的影响系数分别为</w:t>
      </w:r>
      <w:r>
        <w:rPr>
          <w:rFonts w:hint="eastAsia"/>
          <w:bCs/>
          <w:color w:val="000000" w:themeColor="text1"/>
          <w:szCs w:val="21"/>
          <w14:textFill>
            <w14:solidFill>
              <w14:schemeClr w14:val="tx1"/>
            </w14:solidFill>
          </w14:textFill>
        </w:rPr>
        <w:t>-0.946</w:t>
      </w:r>
      <w:r>
        <w:rPr>
          <w:color w:val="000000" w:themeColor="text1"/>
          <w:kern w:val="0"/>
          <w:szCs w:val="21"/>
          <w14:textFill>
            <w14:solidFill>
              <w14:schemeClr w14:val="tx1"/>
            </w14:solidFill>
          </w14:textFill>
        </w:rPr>
        <w:t>***</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w:t>
      </w:r>
      <w:r>
        <w:rPr>
          <w:rFonts w:hint="eastAsia"/>
          <w:bCs/>
          <w:color w:val="000000" w:themeColor="text1"/>
          <w:szCs w:val="21"/>
          <w14:textFill>
            <w14:solidFill>
              <w14:schemeClr w14:val="tx1"/>
            </w14:solidFill>
          </w14:textFill>
        </w:rPr>
        <w:t>211</w:t>
      </w:r>
      <w:r>
        <w:rPr>
          <w:color w:val="000000" w:themeColor="text1"/>
          <w:kern w:val="0"/>
          <w:szCs w:val="21"/>
          <w14:textFill>
            <w14:solidFill>
              <w14:schemeClr w14:val="tx1"/>
            </w14:solidFill>
          </w14:textFill>
        </w:rPr>
        <w:t>*</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0.</w:t>
      </w:r>
      <w:r>
        <w:rPr>
          <w:rFonts w:hint="eastAsia"/>
          <w:bCs/>
          <w:color w:val="000000" w:themeColor="text1"/>
          <w:szCs w:val="21"/>
          <w14:textFill>
            <w14:solidFill>
              <w14:schemeClr w14:val="tx1"/>
            </w14:solidFill>
          </w14:textFill>
        </w:rPr>
        <w:t>544</w:t>
      </w:r>
      <w:r>
        <w:rPr>
          <w:color w:val="000000" w:themeColor="text1"/>
          <w:kern w:val="0"/>
          <w:szCs w:val="21"/>
          <w14:textFill>
            <w14:solidFill>
              <w14:schemeClr w14:val="tx1"/>
            </w14:solidFill>
          </w14:textFill>
        </w:rPr>
        <w:t>*</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1.</w:t>
      </w:r>
      <w:r>
        <w:rPr>
          <w:rFonts w:hint="eastAsia"/>
          <w:bCs/>
          <w:color w:val="000000" w:themeColor="text1"/>
          <w:szCs w:val="21"/>
          <w14:textFill>
            <w14:solidFill>
              <w14:schemeClr w14:val="tx1"/>
            </w14:solidFill>
          </w14:textFill>
        </w:rPr>
        <w:t>485</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，均非常显著；受教育人口数RK</w:t>
      </w:r>
      <w:r>
        <w:rPr>
          <w:rFonts w:hint="eastAsia"/>
          <w:bCs/>
          <w:color w:val="000000" w:themeColor="text1"/>
          <w:szCs w:val="21"/>
          <w14:textFill>
            <w14:solidFill>
              <w14:schemeClr w14:val="tx1"/>
            </w14:solidFill>
          </w14:textFill>
        </w:rPr>
        <w:t>对Y的影响系数为1.438，不显著。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000000" w:themeColor="text1"/>
          <w:kern w:val="0"/>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黑体" w:hAnsi="黑体" w:eastAsia="黑体"/>
          <w:bCs/>
          <w:color w:val="000000" w:themeColor="text1"/>
          <w:sz w:val="24"/>
          <w14:textFill>
            <w14:solidFill>
              <w14:schemeClr w14:val="tx1"/>
            </w14:solidFill>
          </w14:textFill>
        </w:rPr>
      </w:pPr>
      <w:r>
        <w:rPr>
          <w:rFonts w:hint="eastAsia" w:ascii="黑体" w:hAnsi="黑体" w:eastAsia="黑体"/>
          <w:bCs/>
          <w:color w:val="000000" w:themeColor="text1"/>
          <w:sz w:val="24"/>
          <w14:textFill>
            <w14:solidFill>
              <w14:schemeClr w14:val="tx1"/>
            </w14:solidFill>
          </w14:textFill>
        </w:rPr>
        <w:t>4.4  研究结论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财政分权程度</w:t>
      </w:r>
      <w:r>
        <w:rPr>
          <w:rFonts w:hint="eastAsia"/>
          <w:bCs/>
          <w:color w:val="000000" w:themeColor="text1"/>
          <w:sz w:val="24"/>
          <w14:textFill>
            <w14:solidFill>
              <w14:schemeClr w14:val="tx1"/>
            </w14:solidFill>
          </w14:textFill>
        </w:rPr>
        <w:t>FQ</w:t>
      </w:r>
      <w:r>
        <w:rPr>
          <w:bCs/>
          <w:color w:val="000000" w:themeColor="text1"/>
          <w:sz w:val="24"/>
          <w14:textFill>
            <w14:solidFill>
              <w14:schemeClr w14:val="tx1"/>
            </w14:solidFill>
          </w14:textFill>
        </w:rPr>
        <w:t>对华东地区财政教育支出规模的影响系数为</w:t>
      </w:r>
      <w:r>
        <w:rPr>
          <w:rFonts w:hint="eastAsia"/>
          <w:bCs/>
          <w:color w:val="000000" w:themeColor="text1"/>
          <w:sz w:val="24"/>
          <w14:textFill>
            <w14:solidFill>
              <w14:schemeClr w14:val="tx1"/>
            </w14:solidFill>
          </w14:textFill>
        </w:rPr>
        <w:t>-0.946</w:t>
      </w:r>
      <w:r>
        <w:rPr>
          <w:bCs/>
          <w:color w:val="000000" w:themeColor="text1"/>
          <w:sz w:val="24"/>
          <w14:textFill>
            <w14:solidFill>
              <w14:schemeClr w14:val="tx1"/>
            </w14:solidFill>
          </w14:textFill>
        </w:rPr>
        <w:t>，财政分权程度每增加1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，财政教育支出减少</w:t>
      </w:r>
      <w:r>
        <w:rPr>
          <w:rFonts w:hint="eastAsia"/>
          <w:bCs/>
          <w:color w:val="000000" w:themeColor="text1"/>
          <w:sz w:val="24"/>
          <w14:textFill>
            <w14:solidFill>
              <w14:schemeClr w14:val="tx1"/>
            </w14:solidFill>
          </w14:textFill>
        </w:rPr>
        <w:t>0.946%</w:t>
      </w:r>
      <w:r>
        <w:rPr>
          <w:bCs/>
          <w:color w:val="000000" w:themeColor="text1"/>
          <w:sz w:val="24"/>
          <w14:textFill>
            <w14:solidFill>
              <w14:schemeClr w14:val="tx1"/>
            </w14:solidFill>
          </w14:textFill>
        </w:rPr>
        <w:t>。财政分权程度对华东地区财政教育支出有显著的负影响，财政分权程度越高，华东地区财政教育支出规模越小。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政府竞争程度</w:t>
      </w:r>
      <w:r>
        <w:rPr>
          <w:rFonts w:hint="eastAsia"/>
          <w:bCs/>
          <w:color w:val="000000" w:themeColor="text1"/>
          <w:sz w:val="24"/>
          <w14:textFill>
            <w14:solidFill>
              <w14:schemeClr w14:val="tx1"/>
            </w14:solidFill>
          </w14:textFill>
        </w:rPr>
        <w:t>JZ</w:t>
      </w:r>
      <w:r>
        <w:rPr>
          <w:bCs/>
          <w:color w:val="000000" w:themeColor="text1"/>
          <w:sz w:val="24"/>
          <w14:textFill>
            <w14:solidFill>
              <w14:schemeClr w14:val="tx1"/>
            </w14:solidFill>
          </w14:textFill>
        </w:rPr>
        <w:t>对华东地区财政教育支出规模的影响系数为-0.</w:t>
      </w:r>
      <w:r>
        <w:rPr>
          <w:rFonts w:hint="eastAsia"/>
          <w:bCs/>
          <w:color w:val="000000" w:themeColor="text1"/>
          <w:sz w:val="24"/>
          <w14:textFill>
            <w14:solidFill>
              <w14:schemeClr w14:val="tx1"/>
            </w14:solidFill>
          </w14:textFill>
        </w:rPr>
        <w:t>211</w:t>
      </w:r>
      <w:r>
        <w:rPr>
          <w:bCs/>
          <w:color w:val="000000" w:themeColor="text1"/>
          <w:sz w:val="24"/>
          <w14:textFill>
            <w14:solidFill>
              <w14:schemeClr w14:val="tx1"/>
            </w14:solidFill>
          </w14:textFill>
        </w:rPr>
        <w:t>，政府竞争程度每增加1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，财政教育支出减少</w:t>
      </w:r>
      <w:r>
        <w:rPr>
          <w:rFonts w:hint="eastAsia"/>
          <w:bCs/>
          <w:color w:val="000000" w:themeColor="text1"/>
          <w:sz w:val="24"/>
          <w14:textFill>
            <w14:solidFill>
              <w14:schemeClr w14:val="tx1"/>
            </w14:solidFill>
          </w14:textFill>
        </w:rPr>
        <w:t>0.211%</w:t>
      </w:r>
      <w:r>
        <w:rPr>
          <w:bCs/>
          <w:color w:val="000000" w:themeColor="text1"/>
          <w:sz w:val="24"/>
          <w14:textFill>
            <w14:solidFill>
              <w14:schemeClr w14:val="tx1"/>
            </w14:solidFill>
          </w14:textFill>
        </w:rPr>
        <w:t>。政府竞争程度对华东地区财政教育支出有负的影响，政府竞争程度越高，华东地区财政教育支出规模越小。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政府财政自给度</w:t>
      </w:r>
      <w:r>
        <w:rPr>
          <w:rFonts w:hint="eastAsia"/>
          <w:bCs/>
          <w:color w:val="000000" w:themeColor="text1"/>
          <w:sz w:val="24"/>
          <w14:textFill>
            <w14:solidFill>
              <w14:schemeClr w14:val="tx1"/>
            </w14:solidFill>
          </w14:textFill>
        </w:rPr>
        <w:t>ZJ</w:t>
      </w:r>
      <w:r>
        <w:rPr>
          <w:bCs/>
          <w:color w:val="000000" w:themeColor="text1"/>
          <w:sz w:val="24"/>
          <w14:textFill>
            <w14:solidFill>
              <w14:schemeClr w14:val="tx1"/>
            </w14:solidFill>
          </w14:textFill>
        </w:rPr>
        <w:t>对华东地区财政教育支出规模的影响系数为0.</w:t>
      </w:r>
      <w:r>
        <w:rPr>
          <w:rFonts w:hint="eastAsia"/>
          <w:bCs/>
          <w:color w:val="000000" w:themeColor="text1"/>
          <w:sz w:val="24"/>
          <w14:textFill>
            <w14:solidFill>
              <w14:schemeClr w14:val="tx1"/>
            </w14:solidFill>
          </w14:textFill>
        </w:rPr>
        <w:t>544</w:t>
      </w:r>
      <w:r>
        <w:rPr>
          <w:bCs/>
          <w:color w:val="000000" w:themeColor="text1"/>
          <w:sz w:val="24"/>
          <w14:textFill>
            <w14:solidFill>
              <w14:schemeClr w14:val="tx1"/>
            </w14:solidFill>
          </w14:textFill>
        </w:rPr>
        <w:t>，政府财政自给度每增加1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，财政教育支出增加</w:t>
      </w:r>
      <w:r>
        <w:rPr>
          <w:rFonts w:hint="eastAsia"/>
          <w:bCs/>
          <w:color w:val="000000" w:themeColor="text1"/>
          <w:sz w:val="24"/>
          <w14:textFill>
            <w14:solidFill>
              <w14:schemeClr w14:val="tx1"/>
            </w14:solidFill>
          </w14:textFill>
        </w:rPr>
        <w:t>0.544%</w:t>
      </w:r>
      <w:r>
        <w:rPr>
          <w:bCs/>
          <w:color w:val="000000" w:themeColor="text1"/>
          <w:sz w:val="24"/>
          <w14:textFill>
            <w14:solidFill>
              <w14:schemeClr w14:val="tx1"/>
            </w14:solidFill>
          </w14:textFill>
        </w:rPr>
        <w:t>。政府财政自给度对华东地区财政教育支出有显著的正影响，政府财政自给度越高，华东地区财政教育支出规模越大。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经济发展水平</w:t>
      </w:r>
      <w:r>
        <w:rPr>
          <w:rFonts w:hint="eastAsia"/>
          <w:bCs/>
          <w:color w:val="000000" w:themeColor="text1"/>
          <w:sz w:val="24"/>
          <w14:textFill>
            <w14:solidFill>
              <w14:schemeClr w14:val="tx1"/>
            </w14:solidFill>
          </w14:textFill>
        </w:rPr>
        <w:t>GDP</w:t>
      </w:r>
      <w:r>
        <w:rPr>
          <w:bCs/>
          <w:color w:val="000000" w:themeColor="text1"/>
          <w:sz w:val="24"/>
          <w14:textFill>
            <w14:solidFill>
              <w14:schemeClr w14:val="tx1"/>
            </w14:solidFill>
          </w14:textFill>
        </w:rPr>
        <w:t>对华东地区财政教育支出规模的影响系数为1.</w:t>
      </w:r>
      <w:r>
        <w:rPr>
          <w:rFonts w:hint="eastAsia"/>
          <w:bCs/>
          <w:color w:val="000000" w:themeColor="text1"/>
          <w:sz w:val="24"/>
          <w14:textFill>
            <w14:solidFill>
              <w14:schemeClr w14:val="tx1"/>
            </w14:solidFill>
          </w14:textFill>
        </w:rPr>
        <w:t>485</w:t>
      </w:r>
      <w:r>
        <w:rPr>
          <w:bCs/>
          <w:color w:val="000000" w:themeColor="text1"/>
          <w:sz w:val="24"/>
          <w14:textFill>
            <w14:solidFill>
              <w14:schemeClr w14:val="tx1"/>
            </w14:solidFill>
          </w14:textFill>
        </w:rPr>
        <w:t>，经济发展水平每提高1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，财政教育支出增加1.</w:t>
      </w:r>
      <w:r>
        <w:rPr>
          <w:rFonts w:hint="eastAsia"/>
          <w:bCs/>
          <w:color w:val="000000" w:themeColor="text1"/>
          <w:sz w:val="24"/>
          <w14:textFill>
            <w14:solidFill>
              <w14:schemeClr w14:val="tx1"/>
            </w14:solidFill>
          </w14:textFill>
        </w:rPr>
        <w:t>485%</w:t>
      </w:r>
      <w:r>
        <w:rPr>
          <w:bCs/>
          <w:color w:val="000000" w:themeColor="text1"/>
          <w:sz w:val="24"/>
          <w14:textFill>
            <w14:solidFill>
              <w14:schemeClr w14:val="tx1"/>
            </w14:solidFill>
          </w14:textFill>
        </w:rPr>
        <w:t>。经济发展水平对华东地区财政教育支出有显著的正影响，经济发展水平越高，华东地区财政教育支出规模越大。</w:t>
      </w:r>
    </w:p>
    <w:p>
      <w:pPr>
        <w:keepNext w:val="0"/>
        <w:keepLines w:val="0"/>
        <w:pageBreakBefore w:val="0"/>
        <w:widowControl w:val="0"/>
        <w:kinsoku/>
        <w:wordWrap/>
        <w:overflowPunct/>
        <w:topLinePunct w:val="0"/>
        <w:autoSpaceDE/>
        <w:autoSpaceDN/>
        <w:bidi w:val="0"/>
        <w:adjustRightInd/>
        <w:snapToGrid/>
        <w:spacing w:after="379" w:afterLines="100" w:line="360" w:lineRule="auto"/>
        <w:ind w:firstLine="480" w:firstLineChars="200"/>
        <w:textAlignment w:val="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受</w:t>
      </w:r>
      <w:r>
        <w:rPr>
          <w:bCs/>
          <w:color w:val="000000" w:themeColor="text1"/>
          <w:sz w:val="24"/>
          <w14:textFill>
            <w14:solidFill>
              <w14:schemeClr w14:val="tx1"/>
            </w14:solidFill>
          </w14:textFill>
        </w:rPr>
        <w:t>教育人口数</w:t>
      </w:r>
      <w:r>
        <w:rPr>
          <w:rFonts w:hint="eastAsia"/>
          <w:bCs/>
          <w:color w:val="000000" w:themeColor="text1"/>
          <w:sz w:val="24"/>
          <w14:textFill>
            <w14:solidFill>
              <w14:schemeClr w14:val="tx1"/>
            </w14:solidFill>
          </w14:textFill>
        </w:rPr>
        <w:t>RK</w:t>
      </w:r>
      <w:r>
        <w:rPr>
          <w:bCs/>
          <w:color w:val="000000" w:themeColor="text1"/>
          <w:sz w:val="24"/>
          <w14:textFill>
            <w14:solidFill>
              <w14:schemeClr w14:val="tx1"/>
            </w14:solidFill>
          </w14:textFill>
        </w:rPr>
        <w:t>对华东地区财政教育支出规模的影响系数为</w:t>
      </w:r>
      <w:r>
        <w:rPr>
          <w:rFonts w:hint="eastAsia"/>
          <w:bCs/>
          <w:color w:val="000000" w:themeColor="text1"/>
          <w:sz w:val="24"/>
          <w14:textFill>
            <w14:solidFill>
              <w14:schemeClr w14:val="tx1"/>
            </w14:solidFill>
          </w14:textFill>
        </w:rPr>
        <w:t>1.438</w:t>
      </w:r>
      <w:r>
        <w:rPr>
          <w:bCs/>
          <w:color w:val="000000" w:themeColor="text1"/>
          <w:sz w:val="24"/>
          <w14:textFill>
            <w14:solidFill>
              <w14:schemeClr w14:val="tx1"/>
            </w14:solidFill>
          </w14:textFill>
        </w:rPr>
        <w:t>，教育人口每增加1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，财政教育支出增加</w:t>
      </w:r>
      <w:r>
        <w:rPr>
          <w:rFonts w:hint="eastAsia"/>
          <w:bCs/>
          <w:color w:val="000000" w:themeColor="text1"/>
          <w:sz w:val="24"/>
          <w14:textFill>
            <w14:solidFill>
              <w14:schemeClr w14:val="tx1"/>
            </w14:solidFill>
          </w14:textFill>
        </w:rPr>
        <w:t>1.438%</w:t>
      </w:r>
      <w:r>
        <w:rPr>
          <w:bCs/>
          <w:color w:val="000000" w:themeColor="text1"/>
          <w:sz w:val="24"/>
          <w14:textFill>
            <w14:solidFill>
              <w14:schemeClr w14:val="tx1"/>
            </w14:solidFill>
          </w14:textFill>
        </w:rPr>
        <w:t>。教育人口数对华东地区财政教育支出有显著的正影响，受教育人口越多，华东地区财政教育支出规模越大。</w:t>
      </w:r>
    </w:p>
    <w:bookmarkEnd w:id="18"/>
    <w:p>
      <w:pPr>
        <w:spacing w:before="379" w:beforeLines="100" w:after="379" w:afterLines="100" w:line="360" w:lineRule="auto"/>
        <w:outlineLvl w:val="0"/>
        <w:rPr>
          <w:rFonts w:ascii="黑体" w:hAnsi="宋体" w:eastAsia="黑体"/>
          <w:bCs/>
          <w:color w:val="000000" w:themeColor="text1"/>
          <w:sz w:val="28"/>
          <w14:textFill>
            <w14:solidFill>
              <w14:schemeClr w14:val="tx1"/>
            </w14:solidFill>
          </w14:textFill>
        </w:rPr>
      </w:pPr>
      <w:bookmarkStart w:id="19" w:name="_Toc515369614"/>
      <w:r>
        <w:rPr>
          <w:rFonts w:hint="eastAsia" w:ascii="黑体" w:hAnsi="宋体" w:eastAsia="黑体"/>
          <w:bCs/>
          <w:color w:val="000000" w:themeColor="text1"/>
          <w:sz w:val="28"/>
          <w14:textFill>
            <w14:solidFill>
              <w14:schemeClr w14:val="tx1"/>
            </w14:solidFill>
          </w14:textFill>
        </w:rPr>
        <w:t xml:space="preserve">5  </w:t>
      </w:r>
      <w:bookmarkEnd w:id="19"/>
      <w:r>
        <w:rPr>
          <w:rFonts w:hint="eastAsia" w:ascii="黑体" w:hAnsi="宋体" w:eastAsia="黑体"/>
          <w:bCs/>
          <w:color w:val="000000" w:themeColor="text1"/>
          <w:sz w:val="28"/>
          <w14:textFill>
            <w14:solidFill>
              <w14:schemeClr w14:val="tx1"/>
            </w14:solidFill>
          </w14:textFill>
        </w:rPr>
        <w:t>缩小华东地区财政教育支出规模差异的对策建议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针对财政分权程度、政府竞争程度、财政自给度、经济发展水平、受教育人口数因素对华东地区财政教育支出规模差异的不同影响，结合最新政策提出下列建议。</w:t>
      </w:r>
    </w:p>
    <w:p>
      <w:pPr>
        <w:spacing w:line="360" w:lineRule="auto"/>
        <w:outlineLvl w:val="1"/>
        <w:rPr>
          <w:rFonts w:ascii="黑体" w:hAnsi="黑体" w:eastAsia="黑体"/>
          <w:bCs/>
          <w:color w:val="000000" w:themeColor="text1"/>
          <w:sz w:val="24"/>
          <w14:textFill>
            <w14:solidFill>
              <w14:schemeClr w14:val="tx1"/>
            </w14:solidFill>
          </w14:textFill>
        </w:rPr>
      </w:pPr>
      <w:bookmarkStart w:id="20" w:name="_Toc515369615"/>
      <w:r>
        <w:rPr>
          <w:rFonts w:hint="eastAsia" w:ascii="黑体" w:hAnsi="黑体" w:eastAsia="黑体"/>
          <w:bCs/>
          <w:color w:val="000000" w:themeColor="text1"/>
          <w:sz w:val="24"/>
          <w14:textFill>
            <w14:solidFill>
              <w14:schemeClr w14:val="tx1"/>
            </w14:solidFill>
          </w14:textFill>
        </w:rPr>
        <w:t>5.1  促进政府间的良性竞争</w:t>
      </w:r>
      <w:bookmarkEnd w:id="20"/>
    </w:p>
    <w:p>
      <w:pPr>
        <w:spacing w:line="360" w:lineRule="auto"/>
        <w:rPr>
          <w:bCs/>
          <w:sz w:val="24"/>
        </w:rPr>
      </w:pPr>
      <w:r>
        <w:rPr>
          <w:rFonts w:hint="eastAsia"/>
          <w:bCs/>
          <w:sz w:val="24"/>
        </w:rPr>
        <w:t>5.1.1  集权与分权相结合</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自1944年分税制改革以来，财政分权为各地方政府的发展提供了动力，然而以政绩考核为主的官员晋升体制扭曲了支出结构，华东地区地方政府间的标尺竞争是造成该地财政教育支出存在差异的主要原因。考虑到财政分权程度、政府竞争程度对华东地区财政教育支出规模的影响，建议正确引导激励机制，将财政集权与分权相结合，促进政府间进行良性竞争，改变过去紧盯经济效益的观念，强化思想政治教育，提醒官员不能因眼前利益忽视长远发展，要加大财政教育支出，重视人才培养。</w:t>
      </w:r>
    </w:p>
    <w:p>
      <w:pPr>
        <w:spacing w:line="360" w:lineRule="auto"/>
        <w:rPr>
          <w:bCs/>
          <w:sz w:val="24"/>
        </w:rPr>
      </w:pPr>
      <w:r>
        <w:rPr>
          <w:rFonts w:hint="eastAsia"/>
          <w:bCs/>
          <w:sz w:val="24"/>
        </w:rPr>
        <w:t>5.1.2  完善政绩考核体系</w:t>
      </w:r>
    </w:p>
    <w:p>
      <w:pPr>
        <w:spacing w:line="360" w:lineRule="auto"/>
        <w:ind w:firstLine="480" w:firstLineChars="200"/>
        <w:rPr>
          <w:rFonts w:asciiTheme="minorHAnsi" w:eastAsiaTheme="minor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财政分权程度越高，可支配资源越多，政府用于各方面支出的规模也就越大，教育收支存在发生偏离的可能性。应完善地方政府官员的政绩考核体系，提高教育在考核中的比重，</w:t>
      </w:r>
      <w:r>
        <w:rPr>
          <w:rFonts w:hint="eastAsia" w:ascii="宋体" w:hAnsi="宋体" w:cs="宋体"/>
          <w:bCs/>
          <w:color w:val="000000" w:themeColor="text1"/>
          <w:sz w:val="24"/>
          <w14:textFill>
            <w14:solidFill>
              <w14:schemeClr w14:val="tx1"/>
            </w14:solidFill>
          </w14:textFill>
        </w:rPr>
        <w:t>上级政府承担更多的教育支出责任，加大地区的公共教育供给、降低省内教育支出不平等程度。</w:t>
      </w:r>
      <w:r>
        <w:rPr>
          <w:rFonts w:hint="eastAsia"/>
          <w:bCs/>
          <w:color w:val="000000" w:themeColor="text1"/>
          <w:sz w:val="24"/>
          <w14:textFill>
            <w14:solidFill>
              <w14:schemeClr w14:val="tx1"/>
            </w14:solidFill>
          </w14:textFill>
        </w:rPr>
        <w:t>增加财政教育的投入，稳定教育经费的来源与途径，深化对教育事业战略地位的认识。</w:t>
      </w:r>
    </w:p>
    <w:p>
      <w:pPr>
        <w:spacing w:line="360" w:lineRule="auto"/>
        <w:outlineLvl w:val="1"/>
        <w:rPr>
          <w:rFonts w:ascii="黑体" w:hAnsi="黑体" w:eastAsia="黑体"/>
          <w:bCs/>
          <w:color w:val="000000" w:themeColor="text1"/>
          <w:sz w:val="24"/>
          <w14:textFill>
            <w14:solidFill>
              <w14:schemeClr w14:val="tx1"/>
            </w14:solidFill>
          </w14:textFill>
        </w:rPr>
      </w:pPr>
      <w:bookmarkStart w:id="21" w:name="_Toc515369616"/>
      <w:r>
        <w:rPr>
          <w:rFonts w:hint="eastAsia" w:ascii="黑体" w:hAnsi="黑体" w:eastAsia="黑体"/>
          <w:bCs/>
          <w:color w:val="000000" w:themeColor="text1"/>
          <w:sz w:val="24"/>
          <w14:textFill>
            <w14:solidFill>
              <w14:schemeClr w14:val="tx1"/>
            </w14:solidFill>
          </w14:textFill>
        </w:rPr>
        <w:t>5.2  提高财政自给度</w:t>
      </w:r>
      <w:bookmarkEnd w:id="21"/>
    </w:p>
    <w:p>
      <w:pPr>
        <w:spacing w:line="360" w:lineRule="auto"/>
        <w:rPr>
          <w:bCs/>
          <w:sz w:val="24"/>
        </w:rPr>
      </w:pPr>
      <w:r>
        <w:rPr>
          <w:rFonts w:hint="eastAsia"/>
          <w:bCs/>
          <w:sz w:val="24"/>
        </w:rPr>
        <w:t>5.2.1  提高各地自有财力</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财政自给度体现了当地政府的自有财力，华东地区各省份的财政自给度越高，则用于财政教育支出的资金越多。因而若想加大财政教育支出，缩小华东地区财政教育支出的规模差异，可改变现有的收支安排，直接提高各地的自有财力，从源头上增加财政教育资金。同时，明确各地财政教育支出的目标，将有限的资金发挥最大的作用，以确保教育目标的实现。</w:t>
      </w:r>
    </w:p>
    <w:p>
      <w:pPr>
        <w:spacing w:line="360" w:lineRule="auto"/>
        <w:rPr>
          <w:bCs/>
          <w:sz w:val="24"/>
        </w:rPr>
      </w:pPr>
      <w:r>
        <w:rPr>
          <w:rFonts w:hint="eastAsia"/>
          <w:bCs/>
          <w:sz w:val="24"/>
        </w:rPr>
        <w:t>5.2.2  建立监督与评价机制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从法律层面对华东地区财政教育支出资金进行监督，最大程度地规范教育支出，建立健全监督与评价机制。督促地方政府实行政务公开，加强各层级的监督，建立自下而上的监督考核机制，确保资金的合理使用。同时完善财政教育支出的评估机制，提高公民的参与意识，建立自评与他评相结合的评价体系，实现资金的有效利用。明确各地政府在教育支出方面的职责，将教育列为一项考核指标，确保财政教育支出资金拨款到位，防止地方在提高自由财力后，改变资金用途，挪用财政教育支出，忽视教育的发展。充分发挥监督评价机制的作用，提高财政教育支出资金的效益，定期检查教育资金的使用情况。</w:t>
      </w:r>
    </w:p>
    <w:p>
      <w:pPr>
        <w:spacing w:line="360" w:lineRule="auto"/>
        <w:outlineLvl w:val="1"/>
        <w:rPr>
          <w:rFonts w:ascii="黑体" w:hAnsi="黑体" w:eastAsia="黑体"/>
          <w:bCs/>
          <w:color w:val="000000" w:themeColor="text1"/>
          <w:sz w:val="24"/>
          <w14:textFill>
            <w14:solidFill>
              <w14:schemeClr w14:val="tx1"/>
            </w14:solidFill>
          </w14:textFill>
        </w:rPr>
      </w:pPr>
      <w:bookmarkStart w:id="22" w:name="_Toc515369617"/>
      <w:r>
        <w:rPr>
          <w:rFonts w:hint="eastAsia" w:ascii="黑体" w:hAnsi="黑体" w:eastAsia="黑体"/>
          <w:bCs/>
          <w:color w:val="000000" w:themeColor="text1"/>
          <w:sz w:val="24"/>
          <w14:textFill>
            <w14:solidFill>
              <w14:schemeClr w14:val="tx1"/>
            </w14:solidFill>
          </w14:textFill>
        </w:rPr>
        <w:t>5.3</w:t>
      </w:r>
      <w:bookmarkEnd w:id="22"/>
      <w:r>
        <w:rPr>
          <w:rFonts w:hint="eastAsia" w:ascii="黑体" w:hAnsi="黑体" w:eastAsia="黑体"/>
          <w:bCs/>
          <w:color w:val="000000" w:themeColor="text1"/>
          <w:sz w:val="24"/>
          <w14:textFill>
            <w14:solidFill>
              <w14:schemeClr w14:val="tx1"/>
            </w14:solidFill>
          </w14:textFill>
        </w:rPr>
        <w:t xml:space="preserve">  增加财政教育支出总量</w:t>
      </w:r>
    </w:p>
    <w:p>
      <w:pPr>
        <w:spacing w:line="360" w:lineRule="auto"/>
        <w:rPr>
          <w:bCs/>
          <w:sz w:val="24"/>
        </w:rPr>
      </w:pPr>
      <w:r>
        <w:rPr>
          <w:rFonts w:hint="eastAsia"/>
          <w:bCs/>
          <w:sz w:val="24"/>
        </w:rPr>
        <w:t>5.3.1  提高财政教育支出比重</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党的十九大报告强调“优先发展教育事业，建设教育强国是中华民族伟大复兴的基础工程，必须把教育事业放在优先位置，加快教育现代化，办好人民满意的教育。”</w:t>
      </w:r>
      <w:r>
        <w:rPr>
          <w:rStyle w:val="12"/>
          <w:bCs/>
          <w:color w:val="000000" w:themeColor="text1"/>
          <w:sz w:val="24"/>
          <w14:textFill>
            <w14:solidFill>
              <w14:schemeClr w14:val="tx1"/>
            </w14:solidFill>
          </w14:textFill>
        </w:rPr>
        <w:footnoteReference w:id="2"/>
      </w:r>
      <w:r>
        <w:rPr>
          <w:rFonts w:hint="eastAsia"/>
          <w:bCs/>
          <w:color w:val="000000" w:themeColor="text1"/>
          <w:sz w:val="24"/>
          <w14:textFill>
            <w14:solidFill>
              <w14:schemeClr w14:val="tx1"/>
            </w14:solidFill>
          </w14:textFill>
        </w:rPr>
        <w:t>各级政府应正视教育作为民生之首的地位，将教育的发展放在地区发展战略的重要位置。认识到教育的发展与经济的发展并不矛盾，两者在长远看来是相互促进的。各级政府努力促进地区经济发展，提高地方财政收入，增加财政教育支出的资金总量。华东地区虽然在逐年加大其财政教育投入，但还没有达到使满足“三个增长”</w:t>
      </w:r>
      <w:r>
        <w:rPr>
          <w:rStyle w:val="12"/>
          <w:bCs/>
          <w:color w:val="000000" w:themeColor="text1"/>
          <w:sz w:val="24"/>
          <w14:textFill>
            <w14:solidFill>
              <w14:schemeClr w14:val="tx1"/>
            </w14:solidFill>
          </w14:textFill>
        </w:rPr>
        <w:footnoteReference w:id="3"/>
      </w:r>
      <w:r>
        <w:rPr>
          <w:rFonts w:hint="eastAsia"/>
          <w:bCs/>
          <w:color w:val="000000" w:themeColor="text1"/>
          <w:sz w:val="24"/>
          <w14:textFill>
            <w14:solidFill>
              <w14:schemeClr w14:val="tx1"/>
            </w14:solidFill>
          </w14:textFill>
        </w:rPr>
        <w:t>的要求，没有使财政教育支出在GDP中的占比保持在4%。各级政府应结合当前的供给侧结构性改革，引进社会资金参与基础设施建设，减轻地方政府的财政压力，多渠道提高财政教育支出的比重。</w:t>
      </w:r>
    </w:p>
    <w:p>
      <w:pPr>
        <w:spacing w:line="360" w:lineRule="auto"/>
        <w:rPr>
          <w:bCs/>
          <w:sz w:val="24"/>
        </w:rPr>
      </w:pPr>
      <w:r>
        <w:rPr>
          <w:rFonts w:hint="eastAsia"/>
          <w:bCs/>
          <w:sz w:val="24"/>
        </w:rPr>
        <w:t>5.3.2  提高财政教育支出效率</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针对华东地区财政教育支出的规模差异，在增加财政教育支出总量的同时，应努力提高财政教育支出的效率。可考虑建立财政教育专项基金，结合各地经济发展水平的差异，合理进行转移支付，将财政教育资金向发展相对较慢的地区转移，防止欠发达地区的政府为基础建设投资而减少财政教育的支出。政府积极承担在教育方面的责任，保障义务教育的贯彻落实，加大基础教育的财政投入，提高华东地区人力资源的质量。将有限的财政教育资金最大程度地有效利用，提高教育支出效率，明确教育在民生工程中的优先地位。</w:t>
      </w:r>
    </w:p>
    <w:p>
      <w:pPr>
        <w:spacing w:line="360" w:lineRule="auto"/>
        <w:outlineLvl w:val="1"/>
        <w:rPr>
          <w:rFonts w:ascii="黑体" w:hAnsi="黑体" w:eastAsia="黑体"/>
          <w:bCs/>
          <w:color w:val="000000" w:themeColor="text1"/>
          <w:sz w:val="24"/>
          <w14:textFill>
            <w14:solidFill>
              <w14:schemeClr w14:val="tx1"/>
            </w14:solidFill>
          </w14:textFill>
        </w:rPr>
      </w:pPr>
      <w:bookmarkStart w:id="23" w:name="_Toc515369618"/>
      <w:r>
        <w:rPr>
          <w:rFonts w:hint="eastAsia" w:ascii="黑体" w:hAnsi="黑体" w:eastAsia="黑体"/>
          <w:bCs/>
          <w:color w:val="000000" w:themeColor="text1"/>
          <w:sz w:val="24"/>
          <w14:textFill>
            <w14:solidFill>
              <w14:schemeClr w14:val="tx1"/>
            </w14:solidFill>
          </w14:textFill>
        </w:rPr>
        <w:t>5.4  优化财政教育支出结构</w:t>
      </w:r>
      <w:bookmarkEnd w:id="23"/>
    </w:p>
    <w:p>
      <w:pPr>
        <w:spacing w:line="360" w:lineRule="auto"/>
        <w:rPr>
          <w:bCs/>
          <w:sz w:val="24"/>
        </w:rPr>
      </w:pPr>
      <w:r>
        <w:rPr>
          <w:rFonts w:hint="eastAsia"/>
          <w:bCs/>
          <w:sz w:val="24"/>
        </w:rPr>
        <w:t>5.4.1  优化区域结构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财政教育支出的结构主要分为区域结构、层次结构与层次结构，其区域结构体现着各地政府财政教育资金的分配。结合华东地区人口结构的现状，优化财政教育支出的结构，财政教育支出的地区性差异才能缩小，整体教育质量才能得以提高。随着华东地区整体经济的迅速发展，各城市人口分布的差别越来越大，人口结构有所不同，受教育人口数量也不一致，地区间财政教育支出不平等。华东地区应优化财政教育支出的区域结构，关注受教育人口数量较多地区的教育，平衡人口较多城市与人口较少城市的财政教育资金，既不让人口较多城市的财政教育支出不足，也不会让人口较少城市的财政教育支出过剩。</w:t>
      </w:r>
    </w:p>
    <w:p>
      <w:pPr>
        <w:spacing w:line="360" w:lineRule="auto"/>
        <w:rPr>
          <w:bCs/>
          <w:sz w:val="24"/>
        </w:rPr>
      </w:pPr>
      <w:r>
        <w:rPr>
          <w:rFonts w:hint="eastAsia"/>
          <w:bCs/>
          <w:sz w:val="24"/>
        </w:rPr>
        <w:t>5.4.2  优化层次结构</w:t>
      </w:r>
    </w:p>
    <w:p>
      <w:pPr>
        <w:spacing w:line="360" w:lineRule="auto"/>
        <w:ind w:firstLine="480" w:firstLineChars="200"/>
        <w:rPr>
          <w:rFonts w:hint="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财政教育支出的层次结构有三级，包括初等教育、中等教育与高等教育；其内部结构以教育支出的用途为分类标准。优化财政教育支出的层次结构，应协调三级财政教育支出，合理控制投入比例。华东地区目前的财政教育投入应以初中等教育，尤其是义务教育为优先。同时改革高等教育，使其适应市场化的进程，通过多种渠道获得融资以促进教育事业的发展。为使华东地区财政教育支出的内部结构得以优化，应明确其具体用途，划拨相应数额的财政教育资金。平衡教育资金用于各方面支出的比例，保证有充裕的资金用于财政教育的公用支出，根据地方的实际需要进行教育支出。逐渐提高公用支出的比例，同时适当增加用于人员支出的资金。优化财政教育支出的结构，使教育支出的效用实现最大化。</w:t>
      </w:r>
    </w:p>
    <w:p>
      <w:pPr>
        <w:spacing w:line="360" w:lineRule="auto"/>
        <w:ind w:firstLine="480" w:firstLineChars="200"/>
        <w:rPr>
          <w:rFonts w:hint="eastAsia"/>
          <w:bCs/>
          <w:color w:val="000000" w:themeColor="text1"/>
          <w:sz w:val="24"/>
          <w14:textFill>
            <w14:solidFill>
              <w14:schemeClr w14:val="tx1"/>
            </w14:solidFill>
          </w14:textFill>
        </w:rPr>
      </w:pPr>
    </w:p>
    <w:p>
      <w:pPr>
        <w:spacing w:line="360" w:lineRule="auto"/>
        <w:ind w:firstLine="480" w:firstLineChars="200"/>
        <w:rPr>
          <w:rFonts w:hint="eastAsia"/>
          <w:bCs/>
          <w:color w:val="000000" w:themeColor="text1"/>
          <w:sz w:val="24"/>
          <w14:textFill>
            <w14:solidFill>
              <w14:schemeClr w14:val="tx1"/>
            </w14:solidFill>
          </w14:textFill>
        </w:rPr>
      </w:pPr>
    </w:p>
    <w:p>
      <w:pPr>
        <w:spacing w:line="360" w:lineRule="auto"/>
        <w:ind w:firstLine="480" w:firstLineChars="200"/>
        <w:rPr>
          <w:rFonts w:hint="eastAsia"/>
          <w:bCs/>
          <w:color w:val="000000" w:themeColor="text1"/>
          <w:sz w:val="24"/>
          <w14:textFill>
            <w14:solidFill>
              <w14:schemeClr w14:val="tx1"/>
            </w14:solidFill>
          </w14:textFill>
        </w:rPr>
      </w:pPr>
    </w:p>
    <w:p>
      <w:pPr>
        <w:spacing w:line="360" w:lineRule="auto"/>
        <w:ind w:firstLine="480" w:firstLineChars="200"/>
        <w:rPr>
          <w:rFonts w:hint="eastAsia"/>
          <w:bCs/>
          <w:color w:val="000000" w:themeColor="text1"/>
          <w:sz w:val="24"/>
          <w14:textFill>
            <w14:solidFill>
              <w14:schemeClr w14:val="tx1"/>
            </w14:solidFill>
          </w14:textFill>
        </w:rPr>
      </w:pPr>
    </w:p>
    <w:p>
      <w:pPr>
        <w:spacing w:before="379" w:beforeLines="100" w:after="379" w:afterLines="100" w:line="360" w:lineRule="auto"/>
        <w:jc w:val="center"/>
        <w:outlineLvl w:val="0"/>
        <w:rPr>
          <w:rFonts w:ascii="黑体" w:hAnsi="宋体" w:eastAsia="黑体"/>
          <w:bCs/>
          <w:color w:val="000000" w:themeColor="text1"/>
          <w:sz w:val="28"/>
          <w14:textFill>
            <w14:solidFill>
              <w14:schemeClr w14:val="tx1"/>
            </w14:solidFill>
          </w14:textFill>
        </w:rPr>
      </w:pPr>
      <w:bookmarkStart w:id="24" w:name="_Toc515369620"/>
      <w:r>
        <w:rPr>
          <w:rFonts w:hint="eastAsia" w:ascii="黑体" w:hAnsi="宋体" w:eastAsia="黑体"/>
          <w:bCs/>
          <w:color w:val="000000" w:themeColor="text1"/>
          <w:sz w:val="28"/>
          <w14:textFill>
            <w14:solidFill>
              <w14:schemeClr w14:val="tx1"/>
            </w14:solidFill>
          </w14:textFill>
        </w:rPr>
        <w:t>参考文献</w:t>
      </w:r>
      <w:bookmarkEnd w:id="24"/>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[1]檀慧玲,刘艳.国家义务教育质量监测:实现有质量的教育公平的有效途径[J].中国教育学刊,2016.(1):50-53.</w:t>
      </w:r>
      <w:r>
        <w:rPr>
          <w:color w:val="000000" w:themeColor="text1"/>
          <w:szCs w:val="21"/>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[2]程天君.新教育公平引论——基于我国教育公平模式变迁的思考[J].教育发展研究, 2017.(2):1-11.</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[3]王秋依. 教育公平、区域均衡发展与高等教育财政投入[D].硕士论文.浙江工商大学,2018.</w:t>
      </w:r>
      <w:r>
        <w:rPr>
          <w:color w:val="000000" w:themeColor="text1"/>
          <w:szCs w:val="21"/>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[4]刘凌,方艳,黄恺泰.富裕促进教育公平的省际差异分析——基于全国和省级的数据[J].上海对外经贸大学学报,2018.(1):49-58.</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]Tiebout,C.M</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A Pure Theory of Local Expenditures[J].The Journal of Political Economy, </w:t>
      </w:r>
      <w:r>
        <w:rPr>
          <w:rFonts w:hint="eastAsia"/>
          <w:color w:val="000000" w:themeColor="text1"/>
          <w:szCs w:val="21"/>
          <w14:textFill>
            <w14:solidFill>
              <w14:schemeClr w14:val="tx1"/>
            </w14:solidFill>
          </w14:textFill>
        </w:rPr>
        <w:t>1956.</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416— 424. </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]Arzedel Granado,Francisco</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J.</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A Study of the</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Relationship Between Fiscal Decentralization and the Composition of Public Expenditure [M]</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Georgia State University, Doctoral Dissertation.2003.</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]Zhuravskaya,E.</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Incentives</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to</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Provide Local Public Goods:Fiscal</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Federalism,Russian Style[J]</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Journal of Public Economics</w:t>
      </w:r>
      <w:r>
        <w:rPr>
          <w:rFonts w:hint="eastAsia"/>
          <w:color w:val="000000" w:themeColor="text1"/>
          <w:szCs w:val="21"/>
          <w14:textFill>
            <w14:solidFill>
              <w14:schemeClr w14:val="tx1"/>
            </w14:solidFill>
          </w14:textFill>
        </w:rPr>
        <w:t>,2000.(76):</w:t>
      </w:r>
      <w:r>
        <w:rPr>
          <w:color w:val="000000" w:themeColor="text1"/>
          <w:szCs w:val="21"/>
          <w14:textFill>
            <w14:solidFill>
              <w14:schemeClr w14:val="tx1"/>
            </w14:solidFill>
          </w14:textFill>
        </w:rPr>
        <w:t>337-368.</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]Faguet,Jean-Paul.</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Does Decentralization Increase Government Responsiveness to Local Needs? Evidence from Bolivia [J]</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Journal of Public Economics</w:t>
      </w:r>
      <w:r>
        <w:rPr>
          <w:rFonts w:hint="eastAsia"/>
          <w:color w:val="000000" w:themeColor="text1"/>
          <w:szCs w:val="21"/>
          <w14:textFill>
            <w14:solidFill>
              <w14:schemeClr w14:val="tx1"/>
            </w14:solidFill>
          </w14:textFill>
        </w:rPr>
        <w:t>,2004.(88):</w:t>
      </w:r>
      <w:r>
        <w:rPr>
          <w:color w:val="000000" w:themeColor="text1"/>
          <w:szCs w:val="21"/>
          <w14:textFill>
            <w14:solidFill>
              <w14:schemeClr w14:val="tx1"/>
            </w14:solidFill>
          </w14:textFill>
        </w:rPr>
        <w:t>867-893.</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[9]杨良松,任超然.省以下财政分权对县乡义务教育的影响——基于支出分权与财政自主性的视角[J].北京大学教育评论,2015.(2):108-126+191.</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[10]宋珏遐. 财政分权对我国公共教育供给影响的区域差异研究[D].硕士论文.北京交通大学,2016.</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[11]罗贵明.财政分权、地方政府竞争与公共教育投资——基于空间面板模型分析[J].大连理工大学学报(社会科学版),2017.(3):131-135.</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[12]钱佳,雷万鹏.如何解释省内教育财政分权差异?[J].教育与经济,2017.(5):20-26.</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[13]于井远.财政分权与基础教育支出增长分析——基于DSGE的框架分析[J].安徽行政学院学报,2018.(1):40-44.</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[14]赵兴罗,粟小芳.财政分权与地方政府教育支出——基于省级面板数据的实证分析[J].财政监督,2018.(5):75-81.</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[15]王艳,张焕明.财政分权对教育配置效率的影响——以安徽省为例[J].城市学刊,2018.(1):45-51.</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16</w:t>
      </w:r>
      <w:r>
        <w:rPr>
          <w:color w:val="000000" w:themeColor="text1"/>
          <w:szCs w:val="21"/>
          <w14:textFill>
            <w14:solidFill>
              <w14:schemeClr w14:val="tx1"/>
            </w14:solidFill>
          </w14:textFill>
        </w:rPr>
        <w:t>]Keen,M.,Marchand,M..Fiscal Competition and the Pattern of Public Spending[J]. Journal of Public Economics</w:t>
      </w:r>
      <w:r>
        <w:rPr>
          <w:rFonts w:hint="eastAsia"/>
          <w:color w:val="000000" w:themeColor="text1"/>
          <w:szCs w:val="21"/>
          <w14:textFill>
            <w14:solidFill>
              <w14:schemeClr w14:val="tx1"/>
            </w14:solidFill>
          </w14:textFill>
        </w:rPr>
        <w:t>,1997.(</w:t>
      </w:r>
      <w:r>
        <w:rPr>
          <w:color w:val="000000" w:themeColor="text1"/>
          <w:szCs w:val="21"/>
          <w14:textFill>
            <w14:solidFill>
              <w14:schemeClr w14:val="tx1"/>
            </w14:solidFill>
          </w14:textFill>
        </w:rPr>
        <w:t xml:space="preserve"> 66</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33— 53.</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[17]平新乔.建立与现代化经济体系相适应的财税体制所面临的一些问题[J].经济理论与经济管理,2018.(2):12-15.</w:t>
      </w:r>
      <w:r>
        <w:rPr>
          <w:color w:val="000000" w:themeColor="text1"/>
          <w:szCs w:val="21"/>
          <w14:textFill>
            <w14:solidFill>
              <w14:schemeClr w14:val="tx1"/>
            </w14:solidFill>
          </w14:textFill>
        </w:rPr>
        <w:t xml:space="preserve">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[18]许敬轩,王诗雨.基层政府竞争对民生性财政支出影响研究——基于公共教育支出的实证检验[J].中国物价,2017.(8):86-88.</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[19]柳欣源. 义务教育公共服务均等化的制度构建[D].硕士论文.华东师范大学,2017.</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[20]刘凤娟,司言武.基于人才供给侧改革的教育投入经济影响及对策——对31个省级面板数据的建模分析[J].财会月刊,2017.(33):103-113.</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[21]晋玲利.我国政府教育支出与经济增长——基于1978—2015年的数据分析[J].辽宁工业大学学报(社会科学版),2017.(4):23-26.</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[22]巫南杰,邓新.我国财政性教育经费支出的影响因素研究[J].现代商贸工业,2018.(9):130-132.</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[23]傅志明,陈庆海,谭彐琼.基于供给侧的我国财政教育支出结构问题探讨[J].集美大学学报(教育科学版),2017.(1):72-77.</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[24]王蓉,田志磊. 迎接教育财政3.0时代[J].教育经济评论,2018.(1):26-46. 05-109.</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[25]廖英成,张克荣.安徽省财政教育支出与经济增长关系的实证研究[J].阜阳师范学院学报(社会科学版),2017.(4):105-109.</w:t>
      </w:r>
    </w:p>
    <w:p>
      <w:pPr>
        <w:spacing w:line="360" w:lineRule="auto"/>
        <w:rPr>
          <w:color w:val="000000" w:themeColor="text1"/>
          <w:szCs w:val="21"/>
          <w14:textFill>
            <w14:solidFill>
              <w14:schemeClr w14:val="tx1"/>
            </w14:solidFill>
          </w14:textFill>
        </w:rPr>
      </w:pPr>
    </w:p>
    <w:p>
      <w:pPr>
        <w:spacing w:before="379" w:beforeLines="100" w:after="379" w:afterLines="100" w:line="360" w:lineRule="auto"/>
        <w:jc w:val="center"/>
        <w:outlineLvl w:val="0"/>
        <w:rPr>
          <w:rFonts w:ascii="黑体" w:hAnsi="宋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8"/>
          <w:szCs w:val="28"/>
          <w14:textFill>
            <w14:solidFill>
              <w14:schemeClr w14:val="tx1"/>
            </w14:solidFill>
          </w14:textFill>
        </w:rPr>
        <w:t>致谢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首先感谢我的导师梁学平教授，感谢他给予我学习和生活上的无私帮助。梁老师在我的毕业论文选题中提供了宝贵的参考意见，并在论文的修改过程中耐心地给我指导，对于我的提问，导师也是循循善诱，慢慢地引导我找到解决问题的方式，才使得我的论文能够顺利地完成。对梁老师的感谢之情难以言表，谨以此论文向梁老师致以最真诚的谢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同时，感谢我的任课老师们，感谢他们辛勤的付出。他们用开阔的视野和丰富的知识教会了我如何看待问题、研究问题、解决问题，让我学会了思考，学会用辩证的思维看待事物，谢谢各位老师。此外，感谢陪伴我的各位同学，感谢她们在资料查询与数据分析方面给予我的巨大帮助，使我能得出最终的结论。</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最后，感谢我的父母，感谢他们一直以来的鼓励与支持，让我有条件学习更多的知识，有机会完成这篇论文，有信心在未来的道路上越走越远。成长永远都不是一个人的努力，感谢这些年陪我成长的父母。</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本文仍有不足之处，恳请各位老师予以批评指正。</w:t>
      </w:r>
    </w:p>
    <w:p>
      <w:pPr>
        <w:spacing w:line="360" w:lineRule="auto"/>
        <w:ind w:firstLine="480" w:firstLineChars="200"/>
        <w:jc w:val="right"/>
        <w:rPr>
          <w:color w:val="000000" w:themeColor="text1"/>
          <w:sz w:val="24"/>
          <w14:textFill>
            <w14:solidFill>
              <w14:schemeClr w14:val="tx1"/>
            </w14:solidFill>
          </w14:textFill>
        </w:rPr>
      </w:pPr>
    </w:p>
    <w:p>
      <w:pPr>
        <w:spacing w:line="360" w:lineRule="auto"/>
        <w:ind w:firstLine="480" w:firstLineChars="200"/>
        <w:jc w:val="right"/>
        <w:rPr>
          <w:color w:val="000000" w:themeColor="text1"/>
          <w:sz w:val="24"/>
          <w14:textFill>
            <w14:solidFill>
              <w14:schemeClr w14:val="tx1"/>
            </w14:solidFill>
          </w14:textFill>
        </w:rPr>
      </w:pPr>
    </w:p>
    <w:p>
      <w:pPr>
        <w:spacing w:line="360" w:lineRule="auto"/>
        <w:ind w:firstLine="480" w:firstLineChars="200"/>
        <w:jc w:val="righ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疏娇娇</w:t>
      </w:r>
    </w:p>
    <w:p>
      <w:pPr>
        <w:spacing w:line="360" w:lineRule="auto"/>
        <w:ind w:firstLine="480" w:firstLineChars="200"/>
        <w:jc w:val="righ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2018年6月5日</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rFonts w:hint="eastAsia"/>
          <w:bCs/>
          <w:color w:val="000000" w:themeColor="text1"/>
          <w:sz w:val="24"/>
          <w14:textFill>
            <w14:solidFill>
              <w14:schemeClr w14:val="tx1"/>
            </w14:solidFill>
          </w14:textFill>
        </w:rPr>
      </w:pPr>
      <w:bookmarkStart w:id="25" w:name="_GoBack"/>
      <w:bookmarkEnd w:id="25"/>
    </w:p>
    <w:p>
      <w:pPr>
        <w:spacing w:line="360" w:lineRule="auto"/>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sectPr>
      <w:footerReference r:id="rId5" w:type="default"/>
      <w:footnotePr>
        <w:numFmt w:val="decimalEnclosedCircleChinese"/>
        <w:numRestart w:val="eachPage"/>
      </w:footnotePr>
      <w:pgSz w:w="11906" w:h="16838"/>
      <w:pgMar w:top="1588" w:right="1588" w:bottom="1588" w:left="1588" w:header="851" w:footer="992" w:gutter="0"/>
      <w:pgNumType w:start="1"/>
      <w:cols w:space="425" w:num="1"/>
      <w:docGrid w:type="lines" w:linePitch="3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7916260"/>
    </w:sdtPr>
    <w:sdtEndPr>
      <w:rPr>
        <w:sz w:val="21"/>
        <w:szCs w:val="21"/>
        <w:lang w:val="zh-CN"/>
      </w:rPr>
    </w:sdtEndPr>
    <w:sdtContent>
      <w:p>
        <w:pPr>
          <w:pStyle w:val="5"/>
          <w:jc w:val="right"/>
          <w:rPr>
            <w:sz w:val="21"/>
            <w:szCs w:val="21"/>
            <w:lang w:val="zh-CN"/>
          </w:rPr>
        </w:pPr>
        <w:r>
          <w:rPr>
            <w:sz w:val="21"/>
            <w:szCs w:val="21"/>
            <w:lang w:val="zh-CN"/>
          </w:rPr>
          <w:fldChar w:fldCharType="begin"/>
        </w:r>
        <w:r>
          <w:rPr>
            <w:sz w:val="21"/>
            <w:szCs w:val="21"/>
            <w:lang w:val="zh-CN"/>
          </w:rPr>
          <w:instrText xml:space="preserve">PAGE   \* MERGEFORMAT</w:instrText>
        </w:r>
        <w:r>
          <w:rPr>
            <w:sz w:val="21"/>
            <w:szCs w:val="21"/>
            <w:lang w:val="zh-CN"/>
          </w:rPr>
          <w:fldChar w:fldCharType="separate"/>
        </w:r>
        <w:r>
          <w:rPr>
            <w:sz w:val="21"/>
            <w:szCs w:val="21"/>
            <w:lang w:val="zh-CN"/>
          </w:rPr>
          <w:t>29</w:t>
        </w:r>
        <w:r>
          <w:rPr>
            <w:sz w:val="21"/>
            <w:szCs w:val="21"/>
            <w:lang w:val="zh-CN"/>
          </w:rPr>
          <w:fldChar w:fldCharType="end"/>
        </w:r>
      </w:p>
    </w:sdtContent>
  </w:sdt>
  <w:p>
    <w:pPr>
      <w:pStyle w:val="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2"/>
        </w:rPr>
        <w:footnoteRef/>
      </w:r>
      <w:r>
        <w:t>曾满超等译.西方教育经济学流派[M].北京:北京师范大学出版社,1990</w:t>
      </w:r>
      <w:r>
        <w:rPr>
          <w:rFonts w:hint="eastAsia"/>
        </w:rPr>
        <w:t>.</w:t>
      </w:r>
    </w:p>
  </w:footnote>
  <w:footnote w:id="1">
    <w:p>
      <w:pPr>
        <w:pStyle w:val="8"/>
      </w:pPr>
      <w:r>
        <w:rPr>
          <w:rStyle w:val="12"/>
        </w:rPr>
        <w:footnoteRef/>
      </w:r>
      <w:r>
        <w:t>根据 2002至2017年《中国统计年鉴》的有关数据整理而得</w:t>
      </w:r>
      <w:r>
        <w:rPr>
          <w:rFonts w:hint="eastAsia"/>
        </w:rPr>
        <w:t>。</w:t>
      </w:r>
    </w:p>
  </w:footnote>
  <w:footnote w:id="2">
    <w:p>
      <w:pPr>
        <w:pStyle w:val="8"/>
      </w:pPr>
      <w:r>
        <w:rPr>
          <w:rStyle w:val="12"/>
        </w:rPr>
        <w:footnoteRef/>
      </w:r>
      <w:r>
        <w:t>党的十九大报告</w:t>
      </w:r>
      <w:r>
        <w:rPr>
          <w:rFonts w:hint="eastAsia"/>
        </w:rPr>
        <w:t>,</w:t>
      </w:r>
      <w:r>
        <w:t>https://baike.baidu.com/item</w:t>
      </w:r>
      <w:r>
        <w:rPr>
          <w:rFonts w:hint="eastAsia"/>
        </w:rPr>
        <w:t>,</w:t>
      </w:r>
      <w:r>
        <w:t>2017-10-20</w:t>
      </w:r>
      <w:r>
        <w:rPr>
          <w:rFonts w:hint="eastAsia"/>
        </w:rPr>
        <w:t>.</w:t>
      </w:r>
    </w:p>
  </w:footnote>
  <w:footnote w:id="3">
    <w:p>
      <w:pPr>
        <w:pStyle w:val="8"/>
      </w:pPr>
      <w:r>
        <w:rPr>
          <w:rStyle w:val="12"/>
        </w:rPr>
        <w:footnoteRef/>
      </w:r>
      <w:r>
        <w:rPr>
          <w:color w:val="333333"/>
        </w:rPr>
        <w:t>教育经费</w:t>
      </w:r>
      <w:r>
        <w:rPr>
          <w:rFonts w:hint="eastAsia"/>
          <w:color w:val="333333"/>
        </w:rPr>
        <w:t>“三个增长”：</w:t>
      </w:r>
      <w:r>
        <w:rPr>
          <w:color w:val="333333"/>
        </w:rPr>
        <w:t>公共财政预算内教育经费增长高于财政经常性收入增长</w:t>
      </w:r>
      <w:r>
        <w:rPr>
          <w:rFonts w:hint="eastAsia"/>
          <w:color w:val="333333"/>
        </w:rPr>
        <w:t>；</w:t>
      </w:r>
      <w:r>
        <w:rPr>
          <w:color w:val="333333"/>
        </w:rPr>
        <w:t>生均公共财政预算教育事业费支出实现逐年增长</w:t>
      </w:r>
      <w:r>
        <w:rPr>
          <w:rFonts w:hint="eastAsia"/>
          <w:color w:val="333333"/>
        </w:rPr>
        <w:t>；</w:t>
      </w:r>
      <w:r>
        <w:rPr>
          <w:color w:val="333333"/>
        </w:rPr>
        <w:t>生均公共财政预算内公用经费支出实现逐年增长</w:t>
      </w:r>
      <w:r>
        <w:rPr>
          <w:rFonts w:hint="eastAsia"/>
          <w:color w:val="33333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3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A"/>
    <w:rsid w:val="0001357C"/>
    <w:rsid w:val="000237F4"/>
    <w:rsid w:val="00026FC7"/>
    <w:rsid w:val="000560C9"/>
    <w:rsid w:val="00066E31"/>
    <w:rsid w:val="00067A5E"/>
    <w:rsid w:val="00087CE4"/>
    <w:rsid w:val="000A40A1"/>
    <w:rsid w:val="000D1D3B"/>
    <w:rsid w:val="000F70BA"/>
    <w:rsid w:val="00101F78"/>
    <w:rsid w:val="00114517"/>
    <w:rsid w:val="00125435"/>
    <w:rsid w:val="00157AD4"/>
    <w:rsid w:val="0016377F"/>
    <w:rsid w:val="001744A0"/>
    <w:rsid w:val="00176CC9"/>
    <w:rsid w:val="001811C8"/>
    <w:rsid w:val="001839CF"/>
    <w:rsid w:val="00186CFD"/>
    <w:rsid w:val="00193FCA"/>
    <w:rsid w:val="00197464"/>
    <w:rsid w:val="001A0627"/>
    <w:rsid w:val="001A0C4B"/>
    <w:rsid w:val="001D2648"/>
    <w:rsid w:val="001F0537"/>
    <w:rsid w:val="00225AB8"/>
    <w:rsid w:val="00254182"/>
    <w:rsid w:val="002631C9"/>
    <w:rsid w:val="0028799A"/>
    <w:rsid w:val="002C0A10"/>
    <w:rsid w:val="002C70F1"/>
    <w:rsid w:val="002E521F"/>
    <w:rsid w:val="002F3FCE"/>
    <w:rsid w:val="003024AA"/>
    <w:rsid w:val="003078BE"/>
    <w:rsid w:val="0034021B"/>
    <w:rsid w:val="00345871"/>
    <w:rsid w:val="00360FDB"/>
    <w:rsid w:val="003742DF"/>
    <w:rsid w:val="00383A3B"/>
    <w:rsid w:val="00390410"/>
    <w:rsid w:val="003E5084"/>
    <w:rsid w:val="003F366A"/>
    <w:rsid w:val="00404CBF"/>
    <w:rsid w:val="0041548F"/>
    <w:rsid w:val="0041645C"/>
    <w:rsid w:val="004301B7"/>
    <w:rsid w:val="00434066"/>
    <w:rsid w:val="00457F70"/>
    <w:rsid w:val="004908E4"/>
    <w:rsid w:val="004A03BB"/>
    <w:rsid w:val="004A28B7"/>
    <w:rsid w:val="004B6677"/>
    <w:rsid w:val="004C6F97"/>
    <w:rsid w:val="004E1827"/>
    <w:rsid w:val="004F3A02"/>
    <w:rsid w:val="004F77F5"/>
    <w:rsid w:val="00500A05"/>
    <w:rsid w:val="00564EAD"/>
    <w:rsid w:val="005966C1"/>
    <w:rsid w:val="005D5896"/>
    <w:rsid w:val="005F701F"/>
    <w:rsid w:val="006206C0"/>
    <w:rsid w:val="00624FB3"/>
    <w:rsid w:val="0062702B"/>
    <w:rsid w:val="00635A31"/>
    <w:rsid w:val="00663341"/>
    <w:rsid w:val="0066459F"/>
    <w:rsid w:val="00664614"/>
    <w:rsid w:val="00674F12"/>
    <w:rsid w:val="006827D9"/>
    <w:rsid w:val="0069377A"/>
    <w:rsid w:val="006B0ED1"/>
    <w:rsid w:val="006B4FEB"/>
    <w:rsid w:val="006E50CA"/>
    <w:rsid w:val="00705C5C"/>
    <w:rsid w:val="00717D06"/>
    <w:rsid w:val="00723CC7"/>
    <w:rsid w:val="0072485D"/>
    <w:rsid w:val="0073675D"/>
    <w:rsid w:val="00757720"/>
    <w:rsid w:val="007C1BC7"/>
    <w:rsid w:val="007C6BB4"/>
    <w:rsid w:val="007F4D1D"/>
    <w:rsid w:val="00804F19"/>
    <w:rsid w:val="008150D8"/>
    <w:rsid w:val="008811B1"/>
    <w:rsid w:val="00884A2A"/>
    <w:rsid w:val="00892F33"/>
    <w:rsid w:val="008B0EAB"/>
    <w:rsid w:val="008B37DA"/>
    <w:rsid w:val="008D5EEA"/>
    <w:rsid w:val="008D5FE7"/>
    <w:rsid w:val="008E6751"/>
    <w:rsid w:val="009063DA"/>
    <w:rsid w:val="009221CB"/>
    <w:rsid w:val="009300B2"/>
    <w:rsid w:val="00933B8F"/>
    <w:rsid w:val="0096179E"/>
    <w:rsid w:val="009914FB"/>
    <w:rsid w:val="009A6F32"/>
    <w:rsid w:val="009D2739"/>
    <w:rsid w:val="009D2C78"/>
    <w:rsid w:val="009E3488"/>
    <w:rsid w:val="00A12E1D"/>
    <w:rsid w:val="00A2380B"/>
    <w:rsid w:val="00A86EAC"/>
    <w:rsid w:val="00A9187D"/>
    <w:rsid w:val="00AA2307"/>
    <w:rsid w:val="00AE2380"/>
    <w:rsid w:val="00B052E4"/>
    <w:rsid w:val="00B253D9"/>
    <w:rsid w:val="00B32293"/>
    <w:rsid w:val="00B4183A"/>
    <w:rsid w:val="00B524E0"/>
    <w:rsid w:val="00B736D6"/>
    <w:rsid w:val="00B74AD9"/>
    <w:rsid w:val="00B904CC"/>
    <w:rsid w:val="00B97EE3"/>
    <w:rsid w:val="00BA752D"/>
    <w:rsid w:val="00BC1DE5"/>
    <w:rsid w:val="00C0437B"/>
    <w:rsid w:val="00C10B41"/>
    <w:rsid w:val="00C34ED6"/>
    <w:rsid w:val="00C418A2"/>
    <w:rsid w:val="00C5437B"/>
    <w:rsid w:val="00C56DA0"/>
    <w:rsid w:val="00C612FB"/>
    <w:rsid w:val="00C645E0"/>
    <w:rsid w:val="00C664AA"/>
    <w:rsid w:val="00C8525A"/>
    <w:rsid w:val="00CA0791"/>
    <w:rsid w:val="00CA401B"/>
    <w:rsid w:val="00CA46A2"/>
    <w:rsid w:val="00CB58A6"/>
    <w:rsid w:val="00CC0C02"/>
    <w:rsid w:val="00CE552C"/>
    <w:rsid w:val="00CE68E9"/>
    <w:rsid w:val="00D1742C"/>
    <w:rsid w:val="00D27E92"/>
    <w:rsid w:val="00D736A7"/>
    <w:rsid w:val="00D85F6E"/>
    <w:rsid w:val="00DA5F77"/>
    <w:rsid w:val="00DC7B0C"/>
    <w:rsid w:val="00DE5DAE"/>
    <w:rsid w:val="00E20B1C"/>
    <w:rsid w:val="00E33BE5"/>
    <w:rsid w:val="00E55F5C"/>
    <w:rsid w:val="00E71C4F"/>
    <w:rsid w:val="00EA5249"/>
    <w:rsid w:val="00EC3CDD"/>
    <w:rsid w:val="00EE74F7"/>
    <w:rsid w:val="00EF2EE7"/>
    <w:rsid w:val="00F011C3"/>
    <w:rsid w:val="00F1304D"/>
    <w:rsid w:val="00F13B46"/>
    <w:rsid w:val="00F17A61"/>
    <w:rsid w:val="00F61A5C"/>
    <w:rsid w:val="00F61CBE"/>
    <w:rsid w:val="00F654BA"/>
    <w:rsid w:val="00F712DF"/>
    <w:rsid w:val="00F9161E"/>
    <w:rsid w:val="00FA3151"/>
    <w:rsid w:val="00FA5969"/>
    <w:rsid w:val="00FD257F"/>
    <w:rsid w:val="00FF0747"/>
    <w:rsid w:val="2AC3016E"/>
    <w:rsid w:val="43303F50"/>
    <w:rsid w:val="697F47D3"/>
    <w:rsid w:val="6A584E77"/>
    <w:rsid w:val="7ECD6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tabs>
        <w:tab w:val="right" w:leader="dot" w:pos="8296"/>
      </w:tabs>
      <w:spacing w:after="100" w:line="276" w:lineRule="auto"/>
      <w:jc w:val="left"/>
    </w:pPr>
    <w:rPr>
      <w:rFonts w:ascii="宋体" w:hAnsi="宋体" w:cs="宋体"/>
      <w:bCs/>
      <w:kern w:val="0"/>
      <w:sz w:val="22"/>
      <w:szCs w:val="22"/>
    </w:rPr>
  </w:style>
  <w:style w:type="paragraph" w:styleId="8">
    <w:name w:val="footnote text"/>
    <w:basedOn w:val="1"/>
    <w:link w:val="19"/>
    <w:semiHidden/>
    <w:unhideWhenUsed/>
    <w:uiPriority w:val="99"/>
    <w:pPr>
      <w:snapToGrid w:val="0"/>
      <w:jc w:val="left"/>
    </w:pPr>
    <w:rPr>
      <w:sz w:val="18"/>
      <w:szCs w:val="18"/>
    </w:rPr>
  </w:style>
  <w:style w:type="paragraph" w:styleId="9">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styleId="12">
    <w:name w:val="footnote reference"/>
    <w:basedOn w:val="10"/>
    <w:semiHidden/>
    <w:unhideWhenUsed/>
    <w:qFormat/>
    <w:uiPriority w:val="99"/>
    <w:rPr>
      <w:vertAlign w:val="superscript"/>
    </w:rPr>
  </w:style>
  <w:style w:type="character" w:customStyle="1" w:styleId="14">
    <w:name w:val="标题 1 Char"/>
    <w:basedOn w:val="10"/>
    <w:link w:val="2"/>
    <w:qFormat/>
    <w:uiPriority w:val="9"/>
    <w:rPr>
      <w:rFonts w:ascii="Times New Roman" w:hAnsi="Times New Roman" w:eastAsia="宋体" w:cs="Times New Roman"/>
      <w:b/>
      <w:bCs/>
      <w:kern w:val="44"/>
      <w:sz w:val="44"/>
      <w:szCs w:val="44"/>
    </w:rPr>
  </w:style>
  <w:style w:type="character" w:customStyle="1" w:styleId="15">
    <w:name w:val="页眉 Char"/>
    <w:basedOn w:val="10"/>
    <w:link w:val="6"/>
    <w:qFormat/>
    <w:uiPriority w:val="99"/>
    <w:rPr>
      <w:rFonts w:ascii="Times New Roman" w:hAnsi="Times New Roman" w:eastAsia="宋体" w:cs="Times New Roman"/>
      <w:sz w:val="18"/>
      <w:szCs w:val="18"/>
    </w:rPr>
  </w:style>
  <w:style w:type="character" w:customStyle="1" w:styleId="16">
    <w:name w:val="页脚 Char"/>
    <w:basedOn w:val="10"/>
    <w:link w:val="5"/>
    <w:uiPriority w:val="99"/>
    <w:rPr>
      <w:rFonts w:ascii="Times New Roman" w:hAnsi="Times New Roman" w:eastAsia="宋体" w:cs="Times New Roman"/>
      <w:sz w:val="18"/>
      <w:szCs w:val="18"/>
    </w:r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paragraph" w:customStyle="1" w:styleId="1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9">
    <w:name w:val="脚注文本 Char"/>
    <w:basedOn w:val="10"/>
    <w:link w:val="8"/>
    <w:semiHidden/>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24037;&#20316;&#31807;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24037;&#20316;&#31807;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24037;&#20316;&#31807;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24037;&#20316;&#318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34920;&#266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Sheet1!$C$2</c:f>
              <c:strCache>
                <c:ptCount val="1"/>
                <c:pt idx="0">
                  <c:v>增长速度（%）</c:v>
                </c:pt>
              </c:strCache>
            </c:strRef>
          </c:tx>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Sheet1!$C$3:$C$17</c:f>
              <c:numCache>
                <c:formatCode>0.00_);[Red]\(0.00\)</c:formatCode>
                <c:ptCount val="15"/>
                <c:pt idx="0">
                  <c:v>17.3238419675802</c:v>
                </c:pt>
                <c:pt idx="1" c:formatCode="0.00_ ">
                  <c:v>12.6225741026739</c:v>
                </c:pt>
                <c:pt idx="2" c:formatCode="0.00_ ">
                  <c:v>17.7501928731757</c:v>
                </c:pt>
                <c:pt idx="3" c:formatCode="0.00_ ">
                  <c:v>17.4009913145735</c:v>
                </c:pt>
                <c:pt idx="4" c:formatCode="0.00_ ">
                  <c:v>17.664947466676</c:v>
                </c:pt>
                <c:pt idx="5" c:formatCode="0.00_ ">
                  <c:v>49.880224475906</c:v>
                </c:pt>
                <c:pt idx="6" c:formatCode="0.00_ ">
                  <c:v>21.3447438987524</c:v>
                </c:pt>
                <c:pt idx="7" c:formatCode="0.00_ ">
                  <c:v>13.7210402697695</c:v>
                </c:pt>
                <c:pt idx="8" c:formatCode="0.00_ ">
                  <c:v>21.8182680917287</c:v>
                </c:pt>
                <c:pt idx="9" c:formatCode="0.00_ ">
                  <c:v>33.1349204944017</c:v>
                </c:pt>
                <c:pt idx="10" c:formatCode="0.00_ ">
                  <c:v>24.6308103076121</c:v>
                </c:pt>
                <c:pt idx="11" c:formatCode="0.00_ ">
                  <c:v>5.72560914128822</c:v>
                </c:pt>
                <c:pt idx="12" c:formatCode="0.00_ ">
                  <c:v>5.30465975755177</c:v>
                </c:pt>
                <c:pt idx="13" c:formatCode="0.00_ ">
                  <c:v>16.1409805173454</c:v>
                </c:pt>
                <c:pt idx="14" c:formatCode="0.00_ ">
                  <c:v>6.12180382398494</c:v>
                </c:pt>
              </c:numCache>
            </c:numRef>
          </c:val>
          <c:smooth val="0"/>
        </c:ser>
        <c:ser>
          <c:idx val="2"/>
          <c:order val="2"/>
          <c:tx>
            <c:strRef>
              <c:f>Sheet1!$D$2</c:f>
              <c:strCache>
                <c:ptCount val="1"/>
                <c:pt idx="0">
                  <c:v>占GDP比重(%)</c:v>
                </c:pt>
              </c:strCache>
            </c:strRef>
          </c:tx>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Sheet1!$D$3:$D$17</c:f>
              <c:numCache>
                <c:formatCode>0.00_ </c:formatCode>
                <c:ptCount val="15"/>
                <c:pt idx="0">
                  <c:v>1.76500594699189</c:v>
                </c:pt>
                <c:pt idx="1">
                  <c:v>1.70191904695137</c:v>
                </c:pt>
                <c:pt idx="2">
                  <c:v>1.65520525898875</c:v>
                </c:pt>
                <c:pt idx="3">
                  <c:v>1.63818761433009</c:v>
                </c:pt>
                <c:pt idx="4">
                  <c:v>1.64737535391532</c:v>
                </c:pt>
                <c:pt idx="5">
                  <c:v>2.07097884428516</c:v>
                </c:pt>
                <c:pt idx="6">
                  <c:v>2.13553027301262</c:v>
                </c:pt>
                <c:pt idx="7">
                  <c:v>2.21032220550649</c:v>
                </c:pt>
                <c:pt idx="8">
                  <c:v>2.26573404907938</c:v>
                </c:pt>
                <c:pt idx="9">
                  <c:v>2.56501813090727</c:v>
                </c:pt>
                <c:pt idx="10">
                  <c:v>2.91765600373444</c:v>
                </c:pt>
                <c:pt idx="11">
                  <c:v>2.79931931836734</c:v>
                </c:pt>
                <c:pt idx="12">
                  <c:v>2.72503706482433</c:v>
                </c:pt>
                <c:pt idx="13">
                  <c:v>2.96293364963639</c:v>
                </c:pt>
                <c:pt idx="14">
                  <c:v>2.85712010234619</c:v>
                </c:pt>
              </c:numCache>
            </c:numRef>
          </c:val>
          <c:smooth val="0"/>
        </c:ser>
        <c:ser>
          <c:idx val="3"/>
          <c:order val="3"/>
          <c:tx>
            <c:strRef>
              <c:f>Sheet1!$E$2</c:f>
              <c:strCache>
                <c:ptCount val="1"/>
                <c:pt idx="0">
                  <c:v>占财政支出比重(%)</c:v>
                </c:pt>
              </c:strCache>
            </c:strRef>
          </c:tx>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Sheet1!$E$3:$E$17</c:f>
              <c:numCache>
                <c:formatCode>0.00_ </c:formatCode>
                <c:ptCount val="15"/>
                <c:pt idx="0">
                  <c:v>17.5615983467206</c:v>
                </c:pt>
                <c:pt idx="1">
                  <c:v>16.6338716570045</c:v>
                </c:pt>
                <c:pt idx="2">
                  <c:v>16.1800712529632</c:v>
                </c:pt>
                <c:pt idx="3">
                  <c:v>15.6327469591852</c:v>
                </c:pt>
                <c:pt idx="4">
                  <c:v>15.3711007705084</c:v>
                </c:pt>
                <c:pt idx="5">
                  <c:v>18.4084903889459</c:v>
                </c:pt>
                <c:pt idx="6">
                  <c:v>17.9670099851589</c:v>
                </c:pt>
                <c:pt idx="7">
                  <c:v>16.7016420758859</c:v>
                </c:pt>
                <c:pt idx="8">
                  <c:v>16.8590628680744</c:v>
                </c:pt>
                <c:pt idx="9">
                  <c:v>18.0909966787615</c:v>
                </c:pt>
                <c:pt idx="10">
                  <c:v>19.7354836700147</c:v>
                </c:pt>
                <c:pt idx="11">
                  <c:v>18.594684331618</c:v>
                </c:pt>
                <c:pt idx="12">
                  <c:v>18.043636679032</c:v>
                </c:pt>
                <c:pt idx="13">
                  <c:v>17.7288019542512</c:v>
                </c:pt>
                <c:pt idx="14">
                  <c:v>17.7672250123921</c:v>
                </c:pt>
              </c:numCache>
            </c:numRef>
          </c:val>
          <c:smooth val="0"/>
        </c:ser>
        <c:dLbls>
          <c:showLegendKey val="0"/>
          <c:showVal val="0"/>
          <c:showCatName val="0"/>
          <c:showSerName val="0"/>
          <c:showPercent val="0"/>
          <c:showBubbleSize val="0"/>
        </c:dLbls>
        <c:marker val="1"/>
        <c:smooth val="0"/>
        <c:axId val="130004480"/>
        <c:axId val="130006016"/>
      </c:lineChart>
      <c:lineChart>
        <c:grouping val="standard"/>
        <c:varyColors val="0"/>
        <c:ser>
          <c:idx val="0"/>
          <c:order val="0"/>
          <c:tx>
            <c:strRef>
              <c:f>Sheet1!$B$2</c:f>
              <c:strCache>
                <c:ptCount val="1"/>
                <c:pt idx="0">
                  <c:v>财政教育支出（亿元）</c:v>
                </c:pt>
              </c:strCache>
            </c:strRef>
          </c:tx>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Sheet1!$B$3:$B$17</c:f>
              <c:numCache>
                <c:formatCode>0.00_ </c:formatCode>
                <c:ptCount val="15"/>
                <c:pt idx="0">
                  <c:v>795.3964</c:v>
                </c:pt>
                <c:pt idx="1">
                  <c:v>895.7959</c:v>
                </c:pt>
                <c:pt idx="2">
                  <c:v>1054.8014</c:v>
                </c:pt>
                <c:pt idx="3">
                  <c:v>1238.3473</c:v>
                </c:pt>
                <c:pt idx="4">
                  <c:v>1457.1007</c:v>
                </c:pt>
                <c:pt idx="5">
                  <c:v>2183.9058</c:v>
                </c:pt>
                <c:pt idx="6">
                  <c:v>2650.0549</c:v>
                </c:pt>
                <c:pt idx="7">
                  <c:v>3013.67</c:v>
                </c:pt>
                <c:pt idx="8">
                  <c:v>3671.2006</c:v>
                </c:pt>
                <c:pt idx="9">
                  <c:v>4887.65</c:v>
                </c:pt>
                <c:pt idx="10">
                  <c:v>6091.5178</c:v>
                </c:pt>
                <c:pt idx="11">
                  <c:v>6440.2943</c:v>
                </c:pt>
                <c:pt idx="12">
                  <c:v>6781.93</c:v>
                </c:pt>
                <c:pt idx="13">
                  <c:v>7876.6</c:v>
                </c:pt>
                <c:pt idx="14">
                  <c:v>8358.79</c:v>
                </c:pt>
              </c:numCache>
            </c:numRef>
          </c:val>
          <c:smooth val="0"/>
        </c:ser>
        <c:dLbls>
          <c:showLegendKey val="0"/>
          <c:showVal val="0"/>
          <c:showCatName val="0"/>
          <c:showSerName val="0"/>
          <c:showPercent val="0"/>
          <c:showBubbleSize val="0"/>
        </c:dLbls>
        <c:marker val="1"/>
        <c:smooth val="0"/>
        <c:axId val="130007808"/>
        <c:axId val="130009344"/>
      </c:lineChart>
      <c:catAx>
        <c:axId val="13000448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006016"/>
        <c:crosses val="autoZero"/>
        <c:auto val="1"/>
        <c:lblAlgn val="ctr"/>
        <c:lblOffset val="100"/>
        <c:noMultiLvlLbl val="0"/>
      </c:catAx>
      <c:valAx>
        <c:axId val="13000601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004480"/>
        <c:crosses val="autoZero"/>
        <c:crossBetween val="between"/>
      </c:valAx>
      <c:catAx>
        <c:axId val="130007808"/>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009344"/>
        <c:crosses val="autoZero"/>
        <c:auto val="1"/>
        <c:lblAlgn val="ctr"/>
        <c:lblOffset val="100"/>
        <c:noMultiLvlLbl val="0"/>
      </c:catAx>
      <c:valAx>
        <c:axId val="130009344"/>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007808"/>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Sheet3!$B$2</c:f>
              <c:strCache>
                <c:ptCount val="1"/>
                <c:pt idx="0">
                  <c:v>上海市</c:v>
                </c:pt>
              </c:strCache>
            </c:strRef>
          </c:tx>
          <c:spPr>
            <a:ln w="22225" cap="rnd" cmpd="sng" algn="ctr">
              <a:solidFill>
                <a:schemeClr val="accent1">
                  <a:shade val="76667"/>
                  <a:shade val="95000"/>
                  <a:satMod val="105000"/>
                </a:schemeClr>
              </a:solidFill>
              <a:prstDash val="solid"/>
              <a:round/>
            </a:ln>
          </c:spPr>
          <c:marker>
            <c:symbol val="none"/>
          </c:marker>
          <c:dLbls>
            <c:delete val="1"/>
          </c:dLbls>
          <c:cat>
            <c:numRef>
              <c:f>Sheet3!$A$3:$A$17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Sheet3!$B$3:$B$17</c:f>
              <c:numCache>
                <c:formatCode>0.00_);[Red]\(0.00\)</c:formatCode>
                <c:ptCount val="15"/>
                <c:pt idx="0">
                  <c:v>16.3693913727</c:v>
                </c:pt>
                <c:pt idx="1" c:formatCode="0.00_ ">
                  <c:v>13.1877666050063</c:v>
                </c:pt>
                <c:pt idx="2" c:formatCode="0.00_ ">
                  <c:v>18.251626673487</c:v>
                </c:pt>
                <c:pt idx="3" c:formatCode="0.00_ ">
                  <c:v>17.7608625683939</c:v>
                </c:pt>
                <c:pt idx="4" c:formatCode="0.00_ ">
                  <c:v>12.3091261414168</c:v>
                </c:pt>
                <c:pt idx="5" c:formatCode="0.00_ ">
                  <c:v>37.9020247250073</c:v>
                </c:pt>
                <c:pt idx="6" c:formatCode="0.00_ ">
                  <c:v>15.080920540635</c:v>
                </c:pt>
                <c:pt idx="7" c:formatCode="0.00_ ">
                  <c:v>6.40643458867433</c:v>
                </c:pt>
                <c:pt idx="8" c:formatCode="0.00_ ">
                  <c:v>20.2695878793538</c:v>
                </c:pt>
                <c:pt idx="9" c:formatCode="0.00_ ">
                  <c:v>31.6246382802811</c:v>
                </c:pt>
                <c:pt idx="10" c:formatCode="0.00_ ">
                  <c:v>18.1545044060884</c:v>
                </c:pt>
                <c:pt idx="11" c:formatCode="0.00_ ">
                  <c:v>4.71375532050299</c:v>
                </c:pt>
                <c:pt idx="12" c:formatCode="0.00_ ">
                  <c:v>2.36750704665997</c:v>
                </c:pt>
                <c:pt idx="13" c:formatCode="0.00_ ">
                  <c:v>10.3057659962911</c:v>
                </c:pt>
                <c:pt idx="14" c:formatCode="0.00_ ">
                  <c:v>9.59834228222905</c:v>
                </c:pt>
              </c:numCache>
            </c:numRef>
          </c:val>
          <c:smooth val="0"/>
        </c:ser>
        <c:ser>
          <c:idx val="1"/>
          <c:order val="1"/>
          <c:tx>
            <c:strRef>
              <c:f>Sheet3!$C$2</c:f>
              <c:strCache>
                <c:ptCount val="1"/>
                <c:pt idx="0">
                  <c:v>江苏省</c:v>
                </c:pt>
              </c:strCache>
            </c:strRef>
          </c:tx>
          <c:spPr>
            <a:ln w="22225" cap="rnd" cmpd="sng" algn="ctr">
              <a:solidFill>
                <a:schemeClr val="accent2">
                  <a:shade val="76667"/>
                  <a:shade val="95000"/>
                  <a:satMod val="105000"/>
                </a:schemeClr>
              </a:solidFill>
              <a:prstDash val="solid"/>
              <a:round/>
            </a:ln>
          </c:spPr>
          <c:marker>
            <c:symbol val="none"/>
          </c:marker>
          <c:dLbls>
            <c:delete val="1"/>
          </c:dLbls>
          <c:cat>
            <c:numRef>
              <c:f>Sheet3!$A$3:$A$17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Sheet3!$C$3:$C$17</c:f>
              <c:numCache>
                <c:formatCode>0.00_);[Red]\(0.00\)</c:formatCode>
                <c:ptCount val="15"/>
                <c:pt idx="0">
                  <c:v>12.3082146737082</c:v>
                </c:pt>
                <c:pt idx="1" c:formatCode="0.00_ ">
                  <c:v>10.2640896020492</c:v>
                </c:pt>
                <c:pt idx="2" c:formatCode="0.00_ ">
                  <c:v>19.7088285124913</c:v>
                </c:pt>
                <c:pt idx="3" c:formatCode="0.00_ ">
                  <c:v>20.4642896294033</c:v>
                </c:pt>
                <c:pt idx="4" c:formatCode="0.00_ ">
                  <c:v>15.4837807790353</c:v>
                </c:pt>
                <c:pt idx="5" c:formatCode="0.00_ ">
                  <c:v>65.2768444786021</c:v>
                </c:pt>
                <c:pt idx="6" c:formatCode="0.00_ ">
                  <c:v>20.2285588151038</c:v>
                </c:pt>
                <c:pt idx="7" c:formatCode="0.00_ ">
                  <c:v>14.8540541124314</c:v>
                </c:pt>
                <c:pt idx="8" c:formatCode="0.00_ ">
                  <c:v>27.141475647225</c:v>
                </c:pt>
                <c:pt idx="9" c:formatCode="0.00_ ">
                  <c:v>26.3310188863267</c:v>
                </c:pt>
                <c:pt idx="10" c:formatCode="0.00_ ">
                  <c:v>23.5439069903588</c:v>
                </c:pt>
                <c:pt idx="11" c:formatCode="0.00_ ">
                  <c:v>6.24753305310865</c:v>
                </c:pt>
                <c:pt idx="12" c:formatCode="0.00_ ">
                  <c:v>4.86929387409482</c:v>
                </c:pt>
                <c:pt idx="13" c:formatCode="0.00_ ">
                  <c:v>16.0387012745372</c:v>
                </c:pt>
                <c:pt idx="14" c:formatCode="0.00_ ">
                  <c:v>5.53882099620896</c:v>
                </c:pt>
              </c:numCache>
            </c:numRef>
          </c:val>
          <c:smooth val="0"/>
        </c:ser>
        <c:ser>
          <c:idx val="2"/>
          <c:order val="2"/>
          <c:tx>
            <c:strRef>
              <c:f>Sheet3!$D$2</c:f>
              <c:strCache>
                <c:ptCount val="1"/>
                <c:pt idx="0">
                  <c:v>浙江省</c:v>
                </c:pt>
              </c:strCache>
            </c:strRef>
          </c:tx>
          <c:spPr>
            <a:ln w="22225" cap="rnd" cmpd="sng" algn="ctr">
              <a:solidFill>
                <a:schemeClr val="accent3">
                  <a:shade val="76667"/>
                  <a:shade val="95000"/>
                  <a:satMod val="105000"/>
                </a:schemeClr>
              </a:solidFill>
              <a:prstDash val="solid"/>
              <a:round/>
            </a:ln>
          </c:spPr>
          <c:marker>
            <c:symbol val="none"/>
          </c:marker>
          <c:dLbls>
            <c:delete val="1"/>
          </c:dLbls>
          <c:cat>
            <c:numRef>
              <c:f>Sheet3!$A$3:$A$17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Sheet3!$D$3:$D$17</c:f>
              <c:numCache>
                <c:formatCode>0.00_);[Red]\(0.00\)</c:formatCode>
                <c:ptCount val="15"/>
                <c:pt idx="0">
                  <c:v>26.4464526947479</c:v>
                </c:pt>
                <c:pt idx="1" c:formatCode="0.00_ ">
                  <c:v>19.9132311853634</c:v>
                </c:pt>
                <c:pt idx="2" c:formatCode="0.00_ ">
                  <c:v>21.8456526041746</c:v>
                </c:pt>
                <c:pt idx="3" c:formatCode="0.00_ ">
                  <c:v>15.7283322595946</c:v>
                </c:pt>
                <c:pt idx="4" c:formatCode="0.00_ ">
                  <c:v>16.1922168492271</c:v>
                </c:pt>
                <c:pt idx="5" c:formatCode="0.00_ ">
                  <c:v>42.6873444944243</c:v>
                </c:pt>
                <c:pt idx="6" c:formatCode="0.00_ ">
                  <c:v>18.2609225697247</c:v>
                </c:pt>
                <c:pt idx="7" c:formatCode="0.00_ ">
                  <c:v>14.3924031840335</c:v>
                </c:pt>
                <c:pt idx="8" c:formatCode="0.00_ ">
                  <c:v>16.7933201663758</c:v>
                </c:pt>
                <c:pt idx="9" c:formatCode="0.00_ ">
                  <c:v>23.8856727576326</c:v>
                </c:pt>
                <c:pt idx="10" c:formatCode="0.00_ ">
                  <c:v>16.8271406137713</c:v>
                </c:pt>
                <c:pt idx="11" c:formatCode="0.00_ ">
                  <c:v>8.22480741573995</c:v>
                </c:pt>
                <c:pt idx="12" c:formatCode="0.00_ ">
                  <c:v>8.51783825317215</c:v>
                </c:pt>
                <c:pt idx="13" c:formatCode="0.00_ ">
                  <c:v>22.6908117440518</c:v>
                </c:pt>
                <c:pt idx="14" c:formatCode="0.00_ ">
                  <c:v>2.77485710671736</c:v>
                </c:pt>
              </c:numCache>
            </c:numRef>
          </c:val>
          <c:smooth val="0"/>
        </c:ser>
        <c:ser>
          <c:idx val="3"/>
          <c:order val="3"/>
          <c:tx>
            <c:strRef>
              <c:f>Sheet3!$E$2</c:f>
              <c:strCache>
                <c:ptCount val="1"/>
                <c:pt idx="0">
                  <c:v>安徽省</c:v>
                </c:pt>
              </c:strCache>
            </c:strRef>
          </c:tx>
          <c:spPr>
            <a:ln w="22225" cap="rnd" cmpd="sng" algn="ctr">
              <a:solidFill>
                <a:schemeClr val="accent4">
                  <a:shade val="76667"/>
                  <a:shade val="95000"/>
                  <a:satMod val="105000"/>
                </a:schemeClr>
              </a:solidFill>
              <a:prstDash val="solid"/>
              <a:round/>
            </a:ln>
          </c:spPr>
          <c:marker>
            <c:symbol val="none"/>
          </c:marker>
          <c:dLbls>
            <c:delete val="1"/>
          </c:dLbls>
          <c:cat>
            <c:numRef>
              <c:f>Sheet3!$A$3:$A$17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Sheet3!$E$3:$E$17</c:f>
              <c:numCache>
                <c:formatCode>0.00_);[Red]\(0.00\)</c:formatCode>
                <c:ptCount val="15"/>
                <c:pt idx="0">
                  <c:v>15.3468219795646</c:v>
                </c:pt>
                <c:pt idx="1" c:formatCode="0.00_ ">
                  <c:v>9.94158205621282</c:v>
                </c:pt>
                <c:pt idx="2" c:formatCode="0.00_ ">
                  <c:v>24.8426218845164</c:v>
                </c:pt>
                <c:pt idx="3" c:formatCode="0.00_ ">
                  <c:v>11.241921946728</c:v>
                </c:pt>
                <c:pt idx="4" c:formatCode="0.00_ ">
                  <c:v>29.5105559680903</c:v>
                </c:pt>
                <c:pt idx="5" c:formatCode="0.00_ ">
                  <c:v>40.030495943737</c:v>
                </c:pt>
                <c:pt idx="6" c:formatCode="0.00_ ">
                  <c:v>34.4134875672933</c:v>
                </c:pt>
                <c:pt idx="7" c:formatCode="0.00_ ">
                  <c:v>13.1126471892088</c:v>
                </c:pt>
                <c:pt idx="8" c:formatCode="0.00_ ">
                  <c:v>19.3073997641691</c:v>
                </c:pt>
                <c:pt idx="9" c:formatCode="0.00_ ">
                  <c:v>46.181625965456</c:v>
                </c:pt>
                <c:pt idx="10" c:formatCode="0.00_ ">
                  <c:v>27.133519859751</c:v>
                </c:pt>
                <c:pt idx="11" c:formatCode="0.00_ ">
                  <c:v>2.5980738943613</c:v>
                </c:pt>
                <c:pt idx="12" c:formatCode="0.00_ ">
                  <c:v>0.879976084330433</c:v>
                </c:pt>
                <c:pt idx="13" c:formatCode="0.00_ ">
                  <c:v>15.2960017225833</c:v>
                </c:pt>
                <c:pt idx="14" c:formatCode="0.00_ ">
                  <c:v>6.31937716666861</c:v>
                </c:pt>
              </c:numCache>
            </c:numRef>
          </c:val>
          <c:smooth val="0"/>
        </c:ser>
        <c:ser>
          <c:idx val="4"/>
          <c:order val="4"/>
          <c:tx>
            <c:strRef>
              <c:f>Sheet3!$F$2</c:f>
              <c:strCache>
                <c:ptCount val="1"/>
                <c:pt idx="0">
                  <c:v>福建省</c:v>
                </c:pt>
              </c:strCache>
            </c:strRef>
          </c:tx>
          <c:spPr>
            <a:ln w="22225" cap="rnd" cmpd="sng" algn="ctr">
              <a:solidFill>
                <a:schemeClr val="accent5">
                  <a:shade val="76667"/>
                  <a:shade val="95000"/>
                  <a:satMod val="105000"/>
                </a:schemeClr>
              </a:solidFill>
              <a:prstDash val="solid"/>
              <a:round/>
            </a:ln>
          </c:spPr>
          <c:marker>
            <c:symbol val="none"/>
          </c:marker>
          <c:dLbls>
            <c:delete val="1"/>
          </c:dLbls>
          <c:cat>
            <c:numRef>
              <c:f>Sheet3!$A$3:$A$17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Sheet3!$F$3:$F$17</c:f>
              <c:numCache>
                <c:formatCode>0.00_);[Red]\(0.00\)</c:formatCode>
                <c:ptCount val="15"/>
                <c:pt idx="0">
                  <c:v>11.9298400611815</c:v>
                </c:pt>
                <c:pt idx="1" c:formatCode="0.00_ ">
                  <c:v>14.6577177234954</c:v>
                </c:pt>
                <c:pt idx="2" c:formatCode="0.00_ ">
                  <c:v>8.52915550679273</c:v>
                </c:pt>
                <c:pt idx="3" c:formatCode="0.00_ ">
                  <c:v>10.5214958328502</c:v>
                </c:pt>
                <c:pt idx="4" c:formatCode="0.00_ ">
                  <c:v>22.1790281054702</c:v>
                </c:pt>
                <c:pt idx="5" c:formatCode="0.00_ ">
                  <c:v>34.798200880183</c:v>
                </c:pt>
                <c:pt idx="6" c:formatCode="0.00_ ">
                  <c:v>27.0274699844818</c:v>
                </c:pt>
                <c:pt idx="7" c:formatCode="0.00_ ">
                  <c:v>18.9720792327908</c:v>
                </c:pt>
                <c:pt idx="8" c:formatCode="0.00_ ">
                  <c:v>18.0922037508552</c:v>
                </c:pt>
                <c:pt idx="9" c:formatCode="0.00_ ">
                  <c:v>24.0907824770013</c:v>
                </c:pt>
                <c:pt idx="10" c:formatCode="0.00_ ">
                  <c:v>38.2491579180291</c:v>
                </c:pt>
                <c:pt idx="11" c:formatCode="0.00_ ">
                  <c:v>2.24266086763526</c:v>
                </c:pt>
                <c:pt idx="12" c:formatCode="0.00_ ">
                  <c:v>10.3822450524107</c:v>
                </c:pt>
                <c:pt idx="13" c:formatCode="0.00_ ">
                  <c:v>19.3681058934762</c:v>
                </c:pt>
                <c:pt idx="14" c:formatCode="0.00_ ">
                  <c:v>4.17156209158955</c:v>
                </c:pt>
              </c:numCache>
            </c:numRef>
          </c:val>
          <c:smooth val="0"/>
        </c:ser>
        <c:ser>
          <c:idx val="5"/>
          <c:order val="5"/>
          <c:tx>
            <c:strRef>
              <c:f>Sheet3!$G$2</c:f>
              <c:strCache>
                <c:ptCount val="1"/>
                <c:pt idx="0">
                  <c:v>江西省</c:v>
                </c:pt>
              </c:strCache>
            </c:strRef>
          </c:tx>
          <c:spPr>
            <a:ln w="22225" cap="rnd" cmpd="sng" algn="ctr">
              <a:solidFill>
                <a:schemeClr val="accent6">
                  <a:shade val="76667"/>
                  <a:shade val="95000"/>
                  <a:satMod val="105000"/>
                </a:schemeClr>
              </a:solidFill>
              <a:prstDash val="solid"/>
              <a:round/>
            </a:ln>
          </c:spPr>
          <c:marker>
            <c:symbol val="none"/>
          </c:marker>
          <c:dLbls>
            <c:delete val="1"/>
          </c:dLbls>
          <c:cat>
            <c:numRef>
              <c:f>Sheet3!$A$3:$A$17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Sheet3!$G$3:$G$17</c:f>
              <c:numCache>
                <c:formatCode>0.00_);[Red]\(0.00\)</c:formatCode>
                <c:ptCount val="15"/>
                <c:pt idx="0">
                  <c:v>22.2625529340593</c:v>
                </c:pt>
                <c:pt idx="1" c:formatCode="0.00_ ">
                  <c:v>8.86797837720995</c:v>
                </c:pt>
                <c:pt idx="2" c:formatCode="0.00_ ">
                  <c:v>14.3426430781879</c:v>
                </c:pt>
                <c:pt idx="3" c:formatCode="0.00_ ">
                  <c:v>19.2810736820114</c:v>
                </c:pt>
                <c:pt idx="4" c:formatCode="0.00_ ">
                  <c:v>18.0088097510046</c:v>
                </c:pt>
                <c:pt idx="5" c:formatCode="0.00_ ">
                  <c:v>67.5098978793287</c:v>
                </c:pt>
                <c:pt idx="6" c:formatCode="0.00_ ">
                  <c:v>19.0153940334024</c:v>
                </c:pt>
                <c:pt idx="7" c:formatCode="0.00_ ">
                  <c:v>21.7883009487677</c:v>
                </c:pt>
                <c:pt idx="8" c:formatCode="0.00_ ">
                  <c:v>18.0874660518893</c:v>
                </c:pt>
                <c:pt idx="9" c:formatCode="0.00_ ">
                  <c:v>59.4743594958052</c:v>
                </c:pt>
                <c:pt idx="10" c:formatCode="0.00_ ">
                  <c:v>31.1172143414202</c:v>
                </c:pt>
                <c:pt idx="11" c:formatCode="0.00_ ">
                  <c:v>6.82745088330794</c:v>
                </c:pt>
                <c:pt idx="12" c:formatCode="0.00_ ">
                  <c:v>7.10122730313837</c:v>
                </c:pt>
                <c:pt idx="13" c:formatCode="0.00_ ">
                  <c:v>11.4581577024673</c:v>
                </c:pt>
                <c:pt idx="14" c:formatCode="0.00_ ">
                  <c:v>7.01022350523782</c:v>
                </c:pt>
              </c:numCache>
            </c:numRef>
          </c:val>
          <c:smooth val="0"/>
        </c:ser>
        <c:ser>
          <c:idx val="6"/>
          <c:order val="6"/>
          <c:tx>
            <c:strRef>
              <c:f>Sheet3!$H$2</c:f>
              <c:strCache>
                <c:ptCount val="1"/>
                <c:pt idx="0">
                  <c:v>山东省</c:v>
                </c:pt>
              </c:strCache>
            </c:strRef>
          </c:tx>
          <c:spPr>
            <a:ln w="22225" cap="rnd" cmpd="sng" algn="ctr">
              <a:solidFill>
                <a:schemeClr val="accent1">
                  <a:tint val="76667"/>
                  <a:shade val="95000"/>
                  <a:satMod val="105000"/>
                </a:schemeClr>
              </a:solidFill>
              <a:prstDash val="solid"/>
              <a:round/>
            </a:ln>
          </c:spPr>
          <c:marker>
            <c:symbol val="none"/>
          </c:marker>
          <c:dLbls>
            <c:delete val="1"/>
          </c:dLbls>
          <c:cat>
            <c:numRef>
              <c:f>Sheet3!$A$3:$A$17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Sheet3!$H$3:$H$17</c:f>
              <c:numCache>
                <c:formatCode>0.00_);[Red]\(0.00\)</c:formatCode>
                <c:ptCount val="15"/>
                <c:pt idx="0">
                  <c:v>18.1652800049945</c:v>
                </c:pt>
                <c:pt idx="1" c:formatCode="0.00_ ">
                  <c:v>10.0581719306458</c:v>
                </c:pt>
                <c:pt idx="2" c:formatCode="0.00_ ">
                  <c:v>14.3344847065338</c:v>
                </c:pt>
                <c:pt idx="3" c:formatCode="0.00_ ">
                  <c:v>21.4423390506395</c:v>
                </c:pt>
                <c:pt idx="4" c:formatCode="0.00_ ">
                  <c:v>17.5018211172414</c:v>
                </c:pt>
                <c:pt idx="5" c:formatCode="0.00_ ">
                  <c:v>55.108577653439</c:v>
                </c:pt>
                <c:pt idx="6" c:formatCode="0.00_ ">
                  <c:v>21.5360993335501</c:v>
                </c:pt>
                <c:pt idx="7" c:formatCode="0.00_ ">
                  <c:v>11.341979179768</c:v>
                </c:pt>
                <c:pt idx="8" c:formatCode="0.00_ ">
                  <c:v>25.5850496441323</c:v>
                </c:pt>
                <c:pt idx="9" c:formatCode="0.00_ ">
                  <c:v>36.011916196204</c:v>
                </c:pt>
                <c:pt idx="10" c:formatCode="0.00_ ">
                  <c:v>25.1837866208608</c:v>
                </c:pt>
                <c:pt idx="11" c:formatCode="0.00_ ">
                  <c:v>6.69847078165596</c:v>
                </c:pt>
                <c:pt idx="12" c:formatCode="0.00_ ">
                  <c:v>4.38592198240802</c:v>
                </c:pt>
                <c:pt idx="13" c:formatCode="0.00_ ">
                  <c:v>15.7118804155887</c:v>
                </c:pt>
                <c:pt idx="14" c:formatCode="0.00_ ">
                  <c:v>8.00712164767955</c:v>
                </c:pt>
              </c:numCache>
            </c:numRef>
          </c:val>
          <c:smooth val="0"/>
        </c:ser>
        <c:dLbls>
          <c:showLegendKey val="0"/>
          <c:showVal val="0"/>
          <c:showCatName val="0"/>
          <c:showSerName val="0"/>
          <c:showPercent val="0"/>
          <c:showBubbleSize val="0"/>
        </c:dLbls>
        <c:marker val="0"/>
        <c:smooth val="0"/>
        <c:axId val="142037760"/>
        <c:axId val="142039296"/>
      </c:lineChart>
      <c:catAx>
        <c:axId val="14203776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039296"/>
        <c:crosses val="autoZero"/>
        <c:auto val="1"/>
        <c:lblAlgn val="ctr"/>
        <c:lblOffset val="100"/>
        <c:noMultiLvlLbl val="0"/>
      </c:catAx>
      <c:valAx>
        <c:axId val="1420392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03776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Sheet4!$B$2</c:f>
              <c:strCache>
                <c:ptCount val="1"/>
                <c:pt idx="0">
                  <c:v>上海市</c:v>
                </c:pt>
              </c:strCache>
            </c:strRef>
          </c:tx>
          <c:spPr>
            <a:ln w="19050" cap="rnd" cmpd="sng" algn="ctr">
              <a:solidFill>
                <a:schemeClr val="accent1">
                  <a:shade val="76667"/>
                  <a:shade val="95000"/>
                  <a:satMod val="105000"/>
                </a:schemeClr>
              </a:solidFill>
              <a:prstDash val="solid"/>
              <a:round/>
            </a:ln>
          </c:spPr>
          <c:dLbls>
            <c:delete val="1"/>
          </c:dLbls>
          <c:cat>
            <c:numRef>
              <c:f>Sheet4!$A$3:$A$17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Sheet4!$B$3:$B$17</c:f>
              <c:numCache>
                <c:formatCode>0.00_ </c:formatCode>
                <c:ptCount val="15"/>
                <c:pt idx="0">
                  <c:v>2.02169122962256</c:v>
                </c:pt>
                <c:pt idx="1">
                  <c:v>1.9624721588592</c:v>
                </c:pt>
                <c:pt idx="2">
                  <c:v>1.9243561427653</c:v>
                </c:pt>
                <c:pt idx="3">
                  <c:v>1.9782463888162</c:v>
                </c:pt>
                <c:pt idx="4">
                  <c:v>1.94339137212171</c:v>
                </c:pt>
                <c:pt idx="5">
                  <c:v>2.2677547080561</c:v>
                </c:pt>
                <c:pt idx="6">
                  <c:v>2.31745589508353</c:v>
                </c:pt>
                <c:pt idx="7">
                  <c:v>2.30587148463591</c:v>
                </c:pt>
                <c:pt idx="8">
                  <c:v>2.43083995204468</c:v>
                </c:pt>
                <c:pt idx="9">
                  <c:v>2.86126729489797</c:v>
                </c:pt>
                <c:pt idx="10">
                  <c:v>3.21554258011706</c:v>
                </c:pt>
                <c:pt idx="11">
                  <c:v>3.11457112541622</c:v>
                </c:pt>
                <c:pt idx="12">
                  <c:v>2.95162446908268</c:v>
                </c:pt>
                <c:pt idx="13">
                  <c:v>3.05419836845656</c:v>
                </c:pt>
                <c:pt idx="14">
                  <c:v>2.98442260363786</c:v>
                </c:pt>
              </c:numCache>
            </c:numRef>
          </c:val>
          <c:smooth val="0"/>
        </c:ser>
        <c:ser>
          <c:idx val="1"/>
          <c:order val="1"/>
          <c:tx>
            <c:strRef>
              <c:f>Sheet4!$C$2</c:f>
              <c:strCache>
                <c:ptCount val="1"/>
                <c:pt idx="0">
                  <c:v>江苏省</c:v>
                </c:pt>
              </c:strCache>
            </c:strRef>
          </c:tx>
          <c:spPr>
            <a:ln w="19050" cap="rnd" cmpd="sng" algn="ctr">
              <a:solidFill>
                <a:schemeClr val="accent2">
                  <a:shade val="76667"/>
                  <a:shade val="95000"/>
                  <a:satMod val="105000"/>
                </a:schemeClr>
              </a:solidFill>
              <a:prstDash val="solid"/>
              <a:round/>
            </a:ln>
          </c:spPr>
          <c:dLbls>
            <c:delete val="1"/>
          </c:dLbls>
          <c:cat>
            <c:numRef>
              <c:f>Sheet4!$A$3:$A$17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Sheet4!$C$3:$C$17</c:f>
              <c:numCache>
                <c:formatCode>0.00_ </c:formatCode>
                <c:ptCount val="15"/>
                <c:pt idx="0">
                  <c:v>1.53115203854113</c:v>
                </c:pt>
                <c:pt idx="1">
                  <c:v>1.43919047615221</c:v>
                </c:pt>
                <c:pt idx="2">
                  <c:v>1.42879375616519</c:v>
                </c:pt>
                <c:pt idx="3">
                  <c:v>1.38848435024187</c:v>
                </c:pt>
                <c:pt idx="4">
                  <c:v>1.37165170717573</c:v>
                </c:pt>
                <c:pt idx="5">
                  <c:v>1.89441197179851</c:v>
                </c:pt>
                <c:pt idx="6">
                  <c:v>1.91273508019823</c:v>
                </c:pt>
                <c:pt idx="7">
                  <c:v>1.97528187060507</c:v>
                </c:pt>
                <c:pt idx="8">
                  <c:v>2.08895950028823</c:v>
                </c:pt>
                <c:pt idx="9">
                  <c:v>2.22605169957323</c:v>
                </c:pt>
                <c:pt idx="10">
                  <c:v>2.49842984101215</c:v>
                </c:pt>
                <c:pt idx="11">
                  <c:v>2.40151526181703</c:v>
                </c:pt>
                <c:pt idx="12">
                  <c:v>2.31202771864445</c:v>
                </c:pt>
                <c:pt idx="13">
                  <c:v>2.49045943330218</c:v>
                </c:pt>
                <c:pt idx="14">
                  <c:v>2.38142002897596</c:v>
                </c:pt>
              </c:numCache>
            </c:numRef>
          </c:val>
          <c:smooth val="0"/>
        </c:ser>
        <c:ser>
          <c:idx val="2"/>
          <c:order val="2"/>
          <c:tx>
            <c:strRef>
              <c:f>Sheet4!$D$2</c:f>
              <c:strCache>
                <c:ptCount val="1"/>
                <c:pt idx="0">
                  <c:v>浙江省</c:v>
                </c:pt>
              </c:strCache>
            </c:strRef>
          </c:tx>
          <c:spPr>
            <a:ln w="19050" cap="rnd" cmpd="sng" algn="ctr">
              <a:solidFill>
                <a:schemeClr val="accent3">
                  <a:shade val="76667"/>
                  <a:shade val="95000"/>
                  <a:satMod val="105000"/>
                </a:schemeClr>
              </a:solidFill>
              <a:prstDash val="solid"/>
              <a:round/>
            </a:ln>
          </c:spPr>
          <c:dLbls>
            <c:delete val="1"/>
          </c:dLbls>
          <c:cat>
            <c:numRef>
              <c:f>Sheet4!$A$3:$A$17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Sheet4!$D$3:$D$17</c:f>
              <c:numCache>
                <c:formatCode>0.00_ </c:formatCode>
                <c:ptCount val="15"/>
                <c:pt idx="0">
                  <c:v>1.71094760278722</c:v>
                </c:pt>
                <c:pt idx="1">
                  <c:v>1.69198517880437</c:v>
                </c:pt>
                <c:pt idx="2">
                  <c:v>1.71761398267618</c:v>
                </c:pt>
                <c:pt idx="3">
                  <c:v>1.72569997197727</c:v>
                </c:pt>
                <c:pt idx="4">
                  <c:v>1.71162842185022</c:v>
                </c:pt>
                <c:pt idx="5">
                  <c:v>2.04699865040181</c:v>
                </c:pt>
                <c:pt idx="6">
                  <c:v>2.11525302746301</c:v>
                </c:pt>
                <c:pt idx="7">
                  <c:v>2.2589055842995</c:v>
                </c:pt>
                <c:pt idx="8">
                  <c:v>2.18792409434856</c:v>
                </c:pt>
                <c:pt idx="9">
                  <c:v>2.32502084696702</c:v>
                </c:pt>
                <c:pt idx="10">
                  <c:v>2.53239331631922</c:v>
                </c:pt>
                <c:pt idx="11">
                  <c:v>2.51628987583091</c:v>
                </c:pt>
                <c:pt idx="12">
                  <c:v>2.56637350979003</c:v>
                </c:pt>
                <c:pt idx="13">
                  <c:v>2.94948362526287</c:v>
                </c:pt>
                <c:pt idx="14">
                  <c:v>2.75130705232611</c:v>
                </c:pt>
              </c:numCache>
            </c:numRef>
          </c:val>
          <c:smooth val="0"/>
        </c:ser>
        <c:ser>
          <c:idx val="3"/>
          <c:order val="3"/>
          <c:tx>
            <c:strRef>
              <c:f>Sheet4!$E$2</c:f>
              <c:strCache>
                <c:ptCount val="1"/>
                <c:pt idx="0">
                  <c:v>安徽省</c:v>
                </c:pt>
              </c:strCache>
            </c:strRef>
          </c:tx>
          <c:spPr>
            <a:ln w="22225" cap="rnd" cmpd="sng" algn="ctr">
              <a:solidFill>
                <a:schemeClr val="accent4">
                  <a:shade val="76667"/>
                  <a:shade val="95000"/>
                  <a:satMod val="105000"/>
                </a:schemeClr>
              </a:solidFill>
              <a:prstDash val="solid"/>
              <a:round/>
            </a:ln>
          </c:spPr>
          <c:dLbls>
            <c:delete val="1"/>
          </c:dLbls>
          <c:cat>
            <c:numRef>
              <c:f>Sheet4!$A$3:$A$17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Sheet4!$E$3:$E$17</c:f>
              <c:numCache>
                <c:formatCode>0.00_ </c:formatCode>
                <c:ptCount val="15"/>
                <c:pt idx="0">
                  <c:v>2.18515393269919</c:v>
                </c:pt>
                <c:pt idx="1">
                  <c:v>2.15536908218225</c:v>
                </c:pt>
                <c:pt idx="2">
                  <c:v>2.21805307503204</c:v>
                </c:pt>
                <c:pt idx="3">
                  <c:v>2.19490595625933</c:v>
                </c:pt>
                <c:pt idx="4">
                  <c:v>2.48811124744376</c:v>
                </c:pt>
                <c:pt idx="5">
                  <c:v>2.89320492547127</c:v>
                </c:pt>
                <c:pt idx="6">
                  <c:v>3.23392109502624</c:v>
                </c:pt>
                <c:pt idx="7">
                  <c:v>3.2177004060492</c:v>
                </c:pt>
                <c:pt idx="8">
                  <c:v>3.1256314055859</c:v>
                </c:pt>
                <c:pt idx="9">
                  <c:v>3.69075823576123</c:v>
                </c:pt>
                <c:pt idx="10">
                  <c:v>4.171122556581</c:v>
                </c:pt>
                <c:pt idx="11">
                  <c:v>3.83054332597999</c:v>
                </c:pt>
                <c:pt idx="12">
                  <c:v>3.56409856706038</c:v>
                </c:pt>
                <c:pt idx="13">
                  <c:v>3.89323095953172</c:v>
                </c:pt>
                <c:pt idx="14">
                  <c:v>3.73190831387903</c:v>
                </c:pt>
              </c:numCache>
            </c:numRef>
          </c:val>
          <c:smooth val="0"/>
        </c:ser>
        <c:ser>
          <c:idx val="4"/>
          <c:order val="4"/>
          <c:tx>
            <c:strRef>
              <c:f>Sheet4!$F$2</c:f>
              <c:strCache>
                <c:ptCount val="1"/>
                <c:pt idx="0">
                  <c:v>福建省</c:v>
                </c:pt>
              </c:strCache>
            </c:strRef>
          </c:tx>
          <c:spPr>
            <a:ln w="19050" cap="rnd" cmpd="sng" algn="ctr">
              <a:solidFill>
                <a:schemeClr val="accent5">
                  <a:shade val="76667"/>
                  <a:shade val="95000"/>
                  <a:satMod val="105000"/>
                </a:schemeClr>
              </a:solidFill>
              <a:prstDash val="solid"/>
              <a:round/>
            </a:ln>
          </c:spPr>
          <c:dLbls>
            <c:delete val="1"/>
          </c:dLbls>
          <c:cat>
            <c:numRef>
              <c:f>Sheet4!$A$3:$A$17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Sheet4!$F$3:$F$17</c:f>
              <c:numCache>
                <c:formatCode>0.00_ </c:formatCode>
                <c:ptCount val="15"/>
                <c:pt idx="0">
                  <c:v>1.81491421472619</c:v>
                </c:pt>
                <c:pt idx="1">
                  <c:v>1.86543250255334</c:v>
                </c:pt>
                <c:pt idx="2">
                  <c:v>1.7506536996712</c:v>
                </c:pt>
                <c:pt idx="3">
                  <c:v>1.70125665744681</c:v>
                </c:pt>
                <c:pt idx="4">
                  <c:v>1.79650705116794</c:v>
                </c:pt>
                <c:pt idx="5">
                  <c:v>1.98577503668151</c:v>
                </c:pt>
                <c:pt idx="6">
                  <c:v>2.15552143072953</c:v>
                </c:pt>
                <c:pt idx="7">
                  <c:v>2.26823045422191</c:v>
                </c:pt>
                <c:pt idx="8">
                  <c:v>2.22409873842379</c:v>
                </c:pt>
                <c:pt idx="9">
                  <c:v>2.31620632590326</c:v>
                </c:pt>
                <c:pt idx="10">
                  <c:v>2.85406090211138</c:v>
                </c:pt>
                <c:pt idx="11">
                  <c:v>2.62894831787654</c:v>
                </c:pt>
                <c:pt idx="12">
                  <c:v>2.63803762591579</c:v>
                </c:pt>
                <c:pt idx="13">
                  <c:v>2.91576308072958</c:v>
                </c:pt>
                <c:pt idx="14">
                  <c:v>2.73895909072292</c:v>
                </c:pt>
              </c:numCache>
            </c:numRef>
          </c:val>
          <c:smooth val="0"/>
        </c:ser>
        <c:ser>
          <c:idx val="5"/>
          <c:order val="5"/>
          <c:tx>
            <c:strRef>
              <c:f>Sheet4!$G$2</c:f>
              <c:strCache>
                <c:ptCount val="1"/>
                <c:pt idx="0">
                  <c:v>江西省</c:v>
                </c:pt>
              </c:strCache>
            </c:strRef>
          </c:tx>
          <c:spPr>
            <a:ln w="19050" cap="rnd" cmpd="sng" algn="ctr">
              <a:solidFill>
                <a:schemeClr val="accent6">
                  <a:shade val="76667"/>
                  <a:shade val="95000"/>
                  <a:satMod val="105000"/>
                </a:schemeClr>
              </a:solidFill>
              <a:prstDash val="solid"/>
              <a:round/>
            </a:ln>
          </c:spPr>
          <c:dLbls>
            <c:delete val="1"/>
          </c:dLbls>
          <c:cat>
            <c:numRef>
              <c:f>Sheet4!$A$3:$A$17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Sheet4!$G$3:$G$17</c:f>
              <c:numCache>
                <c:formatCode>0.00_ </c:formatCode>
                <c:ptCount val="15"/>
                <c:pt idx="0">
                  <c:v>2.41647758806438</c:v>
                </c:pt>
                <c:pt idx="1">
                  <c:v>2.29629801133429</c:v>
                </c:pt>
                <c:pt idx="2">
                  <c:v>2.13245870338762</c:v>
                </c:pt>
                <c:pt idx="3">
                  <c:v>2.16737741448841</c:v>
                </c:pt>
                <c:pt idx="4">
                  <c:v>2.15245211626108</c:v>
                </c:pt>
                <c:pt idx="5">
                  <c:v>2.99655359682772</c:v>
                </c:pt>
                <c:pt idx="6">
                  <c:v>2.96738367964654</c:v>
                </c:pt>
                <c:pt idx="7">
                  <c:v>3.29095592788151</c:v>
                </c:pt>
                <c:pt idx="8">
                  <c:v>3.14768718668199</c:v>
                </c:pt>
                <c:pt idx="9">
                  <c:v>4.05398015179247</c:v>
                </c:pt>
                <c:pt idx="10">
                  <c:v>4.80396296822582</c:v>
                </c:pt>
                <c:pt idx="11">
                  <c:v>4.6115297577617</c:v>
                </c:pt>
                <c:pt idx="12">
                  <c:v>4.52902804584009</c:v>
                </c:pt>
                <c:pt idx="13">
                  <c:v>4.74336543532622</c:v>
                </c:pt>
                <c:pt idx="14">
                  <c:v>4.58878858316666</c:v>
                </c:pt>
              </c:numCache>
            </c:numRef>
          </c:val>
          <c:smooth val="0"/>
        </c:ser>
        <c:ser>
          <c:idx val="6"/>
          <c:order val="6"/>
          <c:tx>
            <c:strRef>
              <c:f>Sheet4!$H$2</c:f>
              <c:strCache>
                <c:ptCount val="1"/>
                <c:pt idx="0">
                  <c:v>山东省</c:v>
                </c:pt>
              </c:strCache>
            </c:strRef>
          </c:tx>
          <c:spPr>
            <a:ln w="19050" cap="rnd" cmpd="sng" algn="ctr">
              <a:solidFill>
                <a:schemeClr val="accent1">
                  <a:tint val="76667"/>
                  <a:shade val="95000"/>
                  <a:satMod val="105000"/>
                </a:schemeClr>
              </a:solidFill>
              <a:prstDash val="solid"/>
              <a:round/>
            </a:ln>
          </c:spPr>
          <c:dLbls>
            <c:delete val="1"/>
          </c:dLbls>
          <c:cat>
            <c:numRef>
              <c:f>Sheet4!$A$3:$A$17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Sheet4!$H$3:$H$17</c:f>
              <c:numCache>
                <c:formatCode>0.00_ </c:formatCode>
                <c:ptCount val="15"/>
                <c:pt idx="0">
                  <c:v>1.58411853437789</c:v>
                </c:pt>
                <c:pt idx="1">
                  <c:v>1.48324370868055</c:v>
                </c:pt>
                <c:pt idx="2">
                  <c:v>1.36353735627593</c:v>
                </c:pt>
                <c:pt idx="3">
                  <c:v>1.35433201193235</c:v>
                </c:pt>
                <c:pt idx="4">
                  <c:v>1.33461810148679</c:v>
                </c:pt>
                <c:pt idx="5">
                  <c:v>1.75877325870323</c:v>
                </c:pt>
                <c:pt idx="6">
                  <c:v>1.7812301185002</c:v>
                </c:pt>
                <c:pt idx="7">
                  <c:v>1.80987324706129</c:v>
                </c:pt>
                <c:pt idx="8">
                  <c:v>1.96693585281767</c:v>
                </c:pt>
                <c:pt idx="9">
                  <c:v>2.31009096851209</c:v>
                </c:pt>
                <c:pt idx="10">
                  <c:v>2.6229072541591</c:v>
                </c:pt>
                <c:pt idx="11">
                  <c:v>2.53424477714415</c:v>
                </c:pt>
                <c:pt idx="12">
                  <c:v>2.45859639599041</c:v>
                </c:pt>
                <c:pt idx="13">
                  <c:v>2.68342456540893</c:v>
                </c:pt>
                <c:pt idx="14">
                  <c:v>2.68431266445364</c:v>
                </c:pt>
              </c:numCache>
            </c:numRef>
          </c:val>
          <c:smooth val="0"/>
        </c:ser>
        <c:dLbls>
          <c:showLegendKey val="0"/>
          <c:showVal val="0"/>
          <c:showCatName val="0"/>
          <c:showSerName val="0"/>
          <c:showPercent val="0"/>
          <c:showBubbleSize val="0"/>
        </c:dLbls>
        <c:marker val="1"/>
        <c:smooth val="0"/>
        <c:axId val="142076544"/>
        <c:axId val="142082432"/>
      </c:lineChart>
      <c:catAx>
        <c:axId val="14207654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082432"/>
        <c:crosses val="autoZero"/>
        <c:auto val="1"/>
        <c:lblAlgn val="ctr"/>
        <c:lblOffset val="100"/>
        <c:noMultiLvlLbl val="0"/>
      </c:catAx>
      <c:valAx>
        <c:axId val="142082432"/>
        <c:scaling>
          <c:orientation val="minMax"/>
          <c:max val="5"/>
          <c:min val="1"/>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076544"/>
        <c:crosses val="autoZero"/>
        <c:crossBetween val="between"/>
        <c:majorUnit val="1"/>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Sheet2!$B$2</c:f>
              <c:strCache>
                <c:ptCount val="1"/>
                <c:pt idx="0">
                  <c:v>上海市</c:v>
                </c:pt>
              </c:strCache>
            </c:strRef>
          </c:tx>
          <c:spPr>
            <a:ln w="19050" cap="rnd" cmpd="sng" algn="ctr">
              <a:solidFill>
                <a:schemeClr val="accent1">
                  <a:shade val="76667"/>
                  <a:shade val="95000"/>
                  <a:satMod val="105000"/>
                </a:schemeClr>
              </a:solidFill>
              <a:prstDash val="solid"/>
              <a:round/>
            </a:ln>
          </c:spPr>
          <c:dLbls>
            <c:delete val="1"/>
          </c:dLbls>
          <c:cat>
            <c:numRef>
              <c:f>Sheet2!$A$3:$A$17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Sheet2!$B$3:$B$17</c:f>
              <c:numCache>
                <c:formatCode>0.00_ </c:formatCode>
                <c:ptCount val="15"/>
                <c:pt idx="0">
                  <c:v>13.4587884691203</c:v>
                </c:pt>
                <c:pt idx="1">
                  <c:v>12.0698034781199</c:v>
                </c:pt>
                <c:pt idx="2">
                  <c:v>11.2366832464706</c:v>
                </c:pt>
                <c:pt idx="3">
                  <c:v>11.1125858387674</c:v>
                </c:pt>
                <c:pt idx="4">
                  <c:v>11.4426314599408</c:v>
                </c:pt>
                <c:pt idx="5">
                  <c:v>12.9869531617406</c:v>
                </c:pt>
                <c:pt idx="6">
                  <c:v>12.5702909203578</c:v>
                </c:pt>
                <c:pt idx="7">
                  <c:v>11.605097586674</c:v>
                </c:pt>
                <c:pt idx="8">
                  <c:v>12.6337231963971</c:v>
                </c:pt>
                <c:pt idx="9">
                  <c:v>14.0295487984306</c:v>
                </c:pt>
                <c:pt idx="10">
                  <c:v>15.5102572479988</c:v>
                </c:pt>
                <c:pt idx="11">
                  <c:v>15.0055340406044</c:v>
                </c:pt>
                <c:pt idx="12">
                  <c:v>14.1289423655005</c:v>
                </c:pt>
                <c:pt idx="13">
                  <c:v>12.3929995025486</c:v>
                </c:pt>
                <c:pt idx="14">
                  <c:v>12.1546074976803</c:v>
                </c:pt>
              </c:numCache>
            </c:numRef>
          </c:val>
          <c:smooth val="0"/>
        </c:ser>
        <c:ser>
          <c:idx val="1"/>
          <c:order val="1"/>
          <c:tx>
            <c:strRef>
              <c:f>Sheet2!$C$2</c:f>
              <c:strCache>
                <c:ptCount val="1"/>
                <c:pt idx="0">
                  <c:v>江苏省</c:v>
                </c:pt>
              </c:strCache>
            </c:strRef>
          </c:tx>
          <c:spPr>
            <a:ln w="19050" cap="rnd" cmpd="sng" algn="ctr">
              <a:solidFill>
                <a:schemeClr val="accent2">
                  <a:shade val="76667"/>
                  <a:shade val="95000"/>
                  <a:satMod val="105000"/>
                </a:schemeClr>
              </a:solidFill>
              <a:prstDash val="solid"/>
              <a:round/>
            </a:ln>
          </c:spPr>
          <c:dLbls>
            <c:delete val="1"/>
          </c:dLbls>
          <c:cat>
            <c:numRef>
              <c:f>Sheet2!$A$3:$A$17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Sheet2!$C$3:$C$17</c:f>
              <c:numCache>
                <c:formatCode>0.00_ </c:formatCode>
                <c:ptCount val="15"/>
                <c:pt idx="0">
                  <c:v>18.8790467887242</c:v>
                </c:pt>
                <c:pt idx="1">
                  <c:v>17.0926613935613</c:v>
                </c:pt>
                <c:pt idx="2">
                  <c:v>16.3387118262517</c:v>
                </c:pt>
                <c:pt idx="3">
                  <c:v>15.4320808009339</c:v>
                </c:pt>
                <c:pt idx="4">
                  <c:v>14.8131215881662</c:v>
                </c:pt>
                <c:pt idx="5">
                  <c:v>19.3011321476416</c:v>
                </c:pt>
                <c:pt idx="6">
                  <c:v>18.2480225436688</c:v>
                </c:pt>
                <c:pt idx="7">
                  <c:v>16.942174022568</c:v>
                </c:pt>
                <c:pt idx="8">
                  <c:v>17.6099098346341</c:v>
                </c:pt>
                <c:pt idx="9">
                  <c:v>17.5710253756196</c:v>
                </c:pt>
                <c:pt idx="10">
                  <c:v>19.2184233557469</c:v>
                </c:pt>
                <c:pt idx="11">
                  <c:v>18.4008609274402</c:v>
                </c:pt>
                <c:pt idx="12">
                  <c:v>17.7618044367332</c:v>
                </c:pt>
                <c:pt idx="13">
                  <c:v>18.0253479197075</c:v>
                </c:pt>
                <c:pt idx="14">
                  <c:v>18.4627067229282</c:v>
                </c:pt>
              </c:numCache>
            </c:numRef>
          </c:val>
          <c:smooth val="0"/>
        </c:ser>
        <c:ser>
          <c:idx val="2"/>
          <c:order val="2"/>
          <c:tx>
            <c:strRef>
              <c:f>Sheet2!$D$2</c:f>
              <c:strCache>
                <c:ptCount val="1"/>
                <c:pt idx="0">
                  <c:v>浙江省</c:v>
                </c:pt>
              </c:strCache>
            </c:strRef>
          </c:tx>
          <c:spPr>
            <a:ln w="19050" cap="rnd" cmpd="sng" algn="ctr">
              <a:solidFill>
                <a:schemeClr val="accent3">
                  <a:shade val="76667"/>
                  <a:shade val="95000"/>
                  <a:satMod val="105000"/>
                </a:schemeClr>
              </a:solidFill>
              <a:prstDash val="solid"/>
              <a:round/>
            </a:ln>
          </c:spPr>
          <c:dLbls>
            <c:delete val="1"/>
          </c:dLbls>
          <c:cat>
            <c:numRef>
              <c:f>Sheet2!$A$3:$A$17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Sheet2!$D$3:$D$17</c:f>
              <c:numCache>
                <c:formatCode>0.00_ </c:formatCode>
                <c:ptCount val="15"/>
                <c:pt idx="0">
                  <c:v>18.2609147886385</c:v>
                </c:pt>
                <c:pt idx="1">
                  <c:v>18.3109122253767</c:v>
                </c:pt>
                <c:pt idx="2">
                  <c:v>18.8233152434931</c:v>
                </c:pt>
                <c:pt idx="3">
                  <c:v>18.2965300432347</c:v>
                </c:pt>
                <c:pt idx="4">
                  <c:v>18.2790433841061</c:v>
                </c:pt>
                <c:pt idx="5">
                  <c:v>21.2469631271499</c:v>
                </c:pt>
                <c:pt idx="6">
                  <c:v>20.5557917057492</c:v>
                </c:pt>
                <c:pt idx="7">
                  <c:v>19.5726373835688</c:v>
                </c:pt>
                <c:pt idx="8">
                  <c:v>18.9078934612017</c:v>
                </c:pt>
                <c:pt idx="9">
                  <c:v>19.5550396997858</c:v>
                </c:pt>
                <c:pt idx="10">
                  <c:v>21.0929422028455</c:v>
                </c:pt>
                <c:pt idx="11">
                  <c:v>20.0839625543015</c:v>
                </c:pt>
                <c:pt idx="12">
                  <c:v>19.9820915308834</c:v>
                </c:pt>
                <c:pt idx="13">
                  <c:v>19.0330094282559</c:v>
                </c:pt>
                <c:pt idx="14">
                  <c:v>18.6404005586256</c:v>
                </c:pt>
              </c:numCache>
            </c:numRef>
          </c:val>
          <c:smooth val="0"/>
        </c:ser>
        <c:ser>
          <c:idx val="3"/>
          <c:order val="3"/>
          <c:tx>
            <c:strRef>
              <c:f>Sheet2!$E$2</c:f>
              <c:strCache>
                <c:ptCount val="1"/>
                <c:pt idx="0">
                  <c:v>安徽省</c:v>
                </c:pt>
              </c:strCache>
            </c:strRef>
          </c:tx>
          <c:spPr>
            <a:ln w="19050" cap="rnd" cmpd="sng" algn="ctr">
              <a:solidFill>
                <a:schemeClr val="accent4">
                  <a:shade val="76667"/>
                  <a:shade val="95000"/>
                  <a:satMod val="105000"/>
                </a:schemeClr>
              </a:solidFill>
              <a:prstDash val="solid"/>
              <a:round/>
            </a:ln>
          </c:spPr>
          <c:dLbls>
            <c:delete val="1"/>
          </c:dLbls>
          <c:cat>
            <c:numRef>
              <c:f>Sheet2!$A$3:$A$17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Sheet2!$E$3:$E$17</c:f>
              <c:numCache>
                <c:formatCode>0.00_ </c:formatCode>
                <c:ptCount val="15"/>
                <c:pt idx="0">
                  <c:v>16.8347633848444</c:v>
                </c:pt>
                <c:pt idx="1">
                  <c:v>16.6635529968284</c:v>
                </c:pt>
                <c:pt idx="2">
                  <c:v>17.5492745142371</c:v>
                </c:pt>
                <c:pt idx="3">
                  <c:v>16.4685519504369</c:v>
                </c:pt>
                <c:pt idx="4">
                  <c:v>16.1753327287314</c:v>
                </c:pt>
                <c:pt idx="5">
                  <c:v>17.1217755549735</c:v>
                </c:pt>
                <c:pt idx="6">
                  <c:v>17.379108923893</c:v>
                </c:pt>
                <c:pt idx="7">
                  <c:v>15.1168644493401</c:v>
                </c:pt>
                <c:pt idx="8">
                  <c:v>14.9290881346847</c:v>
                </c:pt>
                <c:pt idx="9">
                  <c:v>17.0969333846</c:v>
                </c:pt>
                <c:pt idx="10">
                  <c:v>18.1250757382969</c:v>
                </c:pt>
                <c:pt idx="11">
                  <c:v>16.9342801692563</c:v>
                </c:pt>
                <c:pt idx="12">
                  <c:v>15.9316910014794</c:v>
                </c:pt>
                <c:pt idx="13">
                  <c:v>16.3528987346846</c:v>
                </c:pt>
                <c:pt idx="14">
                  <c:v>16.4924542137807</c:v>
                </c:pt>
              </c:numCache>
            </c:numRef>
          </c:val>
          <c:smooth val="0"/>
        </c:ser>
        <c:ser>
          <c:idx val="4"/>
          <c:order val="4"/>
          <c:tx>
            <c:strRef>
              <c:f>Sheet2!$F$2</c:f>
              <c:strCache>
                <c:ptCount val="1"/>
                <c:pt idx="0">
                  <c:v>福建省</c:v>
                </c:pt>
              </c:strCache>
            </c:strRef>
          </c:tx>
          <c:spPr>
            <a:ln w="19050" cap="rnd" cmpd="sng" algn="ctr">
              <a:solidFill>
                <a:schemeClr val="accent5">
                  <a:shade val="76667"/>
                  <a:shade val="95000"/>
                  <a:satMod val="105000"/>
                </a:schemeClr>
              </a:solidFill>
              <a:prstDash val="solid"/>
              <a:round/>
            </a:ln>
          </c:spPr>
          <c:dLbls>
            <c:delete val="1"/>
          </c:dLbls>
          <c:cat>
            <c:numRef>
              <c:f>Sheet2!$A$3:$A$17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Sheet2!$F$3:$F$17</c:f>
              <c:numCache>
                <c:formatCode>0.00_ </c:formatCode>
                <c:ptCount val="15"/>
                <c:pt idx="0">
                  <c:v>20.3949592514337</c:v>
                </c:pt>
                <c:pt idx="1">
                  <c:v>20.5542326901776</c:v>
                </c:pt>
                <c:pt idx="2">
                  <c:v>19.5278613188428</c:v>
                </c:pt>
                <c:pt idx="3">
                  <c:v>18.8026364000113</c:v>
                </c:pt>
                <c:pt idx="4">
                  <c:v>18.6969815861813</c:v>
                </c:pt>
                <c:pt idx="5">
                  <c:v>20.1675823916377</c:v>
                </c:pt>
                <c:pt idx="6">
                  <c:v>20.5053212317768</c:v>
                </c:pt>
                <c:pt idx="7">
                  <c:v>19.6591600169936</c:v>
                </c:pt>
                <c:pt idx="8">
                  <c:v>19.3363174806114</c:v>
                </c:pt>
                <c:pt idx="9">
                  <c:v>18.503034328399</c:v>
                </c:pt>
                <c:pt idx="10">
                  <c:v>21.5647313022195</c:v>
                </c:pt>
                <c:pt idx="11">
                  <c:v>18.7340715457368</c:v>
                </c:pt>
                <c:pt idx="12">
                  <c:v>19.1913387969879</c:v>
                </c:pt>
                <c:pt idx="13">
                  <c:v>18.9302725423458</c:v>
                </c:pt>
                <c:pt idx="14">
                  <c:v>18.4569864807971</c:v>
                </c:pt>
              </c:numCache>
            </c:numRef>
          </c:val>
          <c:smooth val="0"/>
        </c:ser>
        <c:ser>
          <c:idx val="5"/>
          <c:order val="5"/>
          <c:tx>
            <c:strRef>
              <c:f>Sheet2!$G$2</c:f>
              <c:strCache>
                <c:ptCount val="1"/>
                <c:pt idx="0">
                  <c:v>江西省</c:v>
                </c:pt>
              </c:strCache>
            </c:strRef>
          </c:tx>
          <c:spPr>
            <a:ln w="19050" cap="rnd" cmpd="sng" algn="ctr">
              <a:solidFill>
                <a:schemeClr val="accent6">
                  <a:shade val="76667"/>
                  <a:shade val="95000"/>
                  <a:satMod val="105000"/>
                </a:schemeClr>
              </a:solidFill>
              <a:prstDash val="solid"/>
              <a:round/>
            </a:ln>
          </c:spPr>
          <c:dLbls>
            <c:delete val="1"/>
          </c:dLbls>
          <c:cat>
            <c:numRef>
              <c:f>Sheet2!$A$3:$A$17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Sheet2!$G$3:$G$17</c:f>
              <c:numCache>
                <c:formatCode>0.00_ </c:formatCode>
                <c:ptCount val="15"/>
                <c:pt idx="0">
                  <c:v>17.3458609174527</c:v>
                </c:pt>
                <c:pt idx="1">
                  <c:v>16.8717143581714</c:v>
                </c:pt>
                <c:pt idx="2">
                  <c:v>16.2341392036908</c:v>
                </c:pt>
                <c:pt idx="3">
                  <c:v>15.5909052624113</c:v>
                </c:pt>
                <c:pt idx="4">
                  <c:v>14.898653300712</c:v>
                </c:pt>
                <c:pt idx="5">
                  <c:v>19.2040246693528</c:v>
                </c:pt>
                <c:pt idx="6">
                  <c:v>17.0946546200105</c:v>
                </c:pt>
                <c:pt idx="7">
                  <c:v>16.1247286341518</c:v>
                </c:pt>
                <c:pt idx="8">
                  <c:v>15.4682980744238</c:v>
                </c:pt>
                <c:pt idx="9">
                  <c:v>18.7181409295352</c:v>
                </c:pt>
                <c:pt idx="10">
                  <c:v>20.60328473763</c:v>
                </c:pt>
                <c:pt idx="11">
                  <c:v>19.1490635121509</c:v>
                </c:pt>
                <c:pt idx="12">
                  <c:v>18.3305431787158</c:v>
                </c:pt>
                <c:pt idx="13">
                  <c:v>17.9775866562419</c:v>
                </c:pt>
                <c:pt idx="14">
                  <c:v>18.3843721574912</c:v>
                </c:pt>
              </c:numCache>
            </c:numRef>
          </c:val>
          <c:smooth val="0"/>
        </c:ser>
        <c:ser>
          <c:idx val="6"/>
          <c:order val="6"/>
          <c:tx>
            <c:strRef>
              <c:f>Sheet2!$H$2</c:f>
              <c:strCache>
                <c:ptCount val="1"/>
                <c:pt idx="0">
                  <c:v>山东省</c:v>
                </c:pt>
              </c:strCache>
            </c:strRef>
          </c:tx>
          <c:spPr>
            <a:ln w="19050" cap="rnd" cmpd="sng" algn="ctr">
              <a:solidFill>
                <a:schemeClr val="accent1">
                  <a:tint val="76667"/>
                  <a:shade val="95000"/>
                  <a:satMod val="105000"/>
                </a:schemeClr>
              </a:solidFill>
              <a:prstDash val="solid"/>
              <a:round/>
            </a:ln>
          </c:spPr>
          <c:dLbls>
            <c:delete val="1"/>
          </c:dLbls>
          <c:cat>
            <c:numRef>
              <c:f>Sheet2!$A$3:$A$17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Sheet2!$H$3:$H$17</c:f>
              <c:numCache>
                <c:formatCode>0.00_ </c:formatCode>
                <c:ptCount val="15"/>
                <c:pt idx="0">
                  <c:v>18.9087645931347</c:v>
                </c:pt>
                <c:pt idx="1">
                  <c:v>17.7262416519441</c:v>
                </c:pt>
                <c:pt idx="2">
                  <c:v>17.2215647321661</c:v>
                </c:pt>
                <c:pt idx="3">
                  <c:v>16.965202730191</c:v>
                </c:pt>
                <c:pt idx="4">
                  <c:v>15.9418306571254</c:v>
                </c:pt>
                <c:pt idx="5">
                  <c:v>20.0436589613942</c:v>
                </c:pt>
                <c:pt idx="6">
                  <c:v>20.3719741174246</c:v>
                </c:pt>
                <c:pt idx="7">
                  <c:v>18.7744202936427</c:v>
                </c:pt>
                <c:pt idx="8">
                  <c:v>18.5872437172982</c:v>
                </c:pt>
                <c:pt idx="9">
                  <c:v>20.9493269786309</c:v>
                </c:pt>
                <c:pt idx="10">
                  <c:v>22.2168976750485</c:v>
                </c:pt>
                <c:pt idx="11">
                  <c:v>20.925599509628</c:v>
                </c:pt>
                <c:pt idx="12">
                  <c:v>20.3566517260645</c:v>
                </c:pt>
                <c:pt idx="13">
                  <c:v>20.4923387971651</c:v>
                </c:pt>
                <c:pt idx="14">
                  <c:v>20.8560388614322</c:v>
                </c:pt>
              </c:numCache>
            </c:numRef>
          </c:val>
          <c:smooth val="0"/>
        </c:ser>
        <c:dLbls>
          <c:showLegendKey val="0"/>
          <c:showVal val="0"/>
          <c:showCatName val="0"/>
          <c:showSerName val="0"/>
          <c:showPercent val="0"/>
          <c:showBubbleSize val="0"/>
        </c:dLbls>
        <c:marker val="1"/>
        <c:smooth val="0"/>
        <c:axId val="142128256"/>
        <c:axId val="142129792"/>
      </c:lineChart>
      <c:catAx>
        <c:axId val="1421282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129792"/>
        <c:crosses val="autoZero"/>
        <c:auto val="1"/>
        <c:lblAlgn val="ctr"/>
        <c:lblOffset val="100"/>
        <c:noMultiLvlLbl val="0"/>
      </c:catAx>
      <c:valAx>
        <c:axId val="142129792"/>
        <c:scaling>
          <c:orientation val="minMax"/>
          <c:max val="24"/>
          <c:min val="10"/>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128256"/>
        <c:crosses val="autoZero"/>
        <c:crossBetween val="between"/>
        <c:majorUnit val="2"/>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变异系数!$M$2</c:f>
              <c:strCache>
                <c:ptCount val="1"/>
                <c:pt idx="0">
                  <c:v>变异系数</c:v>
                </c:pt>
              </c:strCache>
            </c:strRef>
          </c:tx>
          <c:dLbls>
            <c:dLbl>
              <c:idx val="4"/>
              <c:layout>
                <c:manualLayout>
                  <c:x val="-0.0503069065825256"/>
                  <c:y val="0.05875298920968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75271231890238"/>
                  <c:y val="0.06369126081462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334597345006964"/>
                  <c:y val="0.073567804024496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64747339795522"/>
                  <c:y val="0.0389999027899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358664733695293"/>
                  <c:y val="0.05875298920968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358664733695293"/>
                  <c:y val="0.04393817439486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变异系数!$A$3:$A$17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变异系数!$M$3:$M$17</c:f>
              <c:numCache>
                <c:formatCode>0.000_);[Red]\(0.000\)</c:formatCode>
                <c:ptCount val="15"/>
                <c:pt idx="0">
                  <c:v>0.344276671152061</c:v>
                </c:pt>
                <c:pt idx="1">
                  <c:v>0.345680436448072</c:v>
                </c:pt>
                <c:pt idx="2">
                  <c:v>0.353736254455253</c:v>
                </c:pt>
                <c:pt idx="3">
                  <c:v>0.373310206841323</c:v>
                </c:pt>
                <c:pt idx="4">
                  <c:v>0.354507060555451</c:v>
                </c:pt>
                <c:pt idx="5">
                  <c:v>0.390826001605477</c:v>
                </c:pt>
                <c:pt idx="6">
                  <c:v>0.377668248305149</c:v>
                </c:pt>
                <c:pt idx="7">
                  <c:v>0.369963428312808</c:v>
                </c:pt>
                <c:pt idx="8">
                  <c:v>0.397508172077095</c:v>
                </c:pt>
                <c:pt idx="9">
                  <c:v>0.365617026077648</c:v>
                </c:pt>
                <c:pt idx="10">
                  <c:v>0.351346553544916</c:v>
                </c:pt>
                <c:pt idx="11">
                  <c:v>0.360956557520618</c:v>
                </c:pt>
                <c:pt idx="12">
                  <c:v>0.356889194282697</c:v>
                </c:pt>
                <c:pt idx="13">
                  <c:v>0.363396453229691</c:v>
                </c:pt>
                <c:pt idx="14">
                  <c:v>0.363604241688022</c:v>
                </c:pt>
              </c:numCache>
            </c:numRef>
          </c:val>
          <c:smooth val="0"/>
        </c:ser>
        <c:dLbls>
          <c:showLegendKey val="0"/>
          <c:showVal val="0"/>
          <c:showCatName val="0"/>
          <c:showSerName val="0"/>
          <c:showPercent val="0"/>
          <c:showBubbleSize val="0"/>
        </c:dLbls>
        <c:marker val="1"/>
        <c:smooth val="0"/>
        <c:axId val="142105216"/>
        <c:axId val="142172544"/>
      </c:lineChart>
      <c:catAx>
        <c:axId val="1421052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172544"/>
        <c:crosses val="autoZero"/>
        <c:auto val="1"/>
        <c:lblAlgn val="ctr"/>
        <c:lblOffset val="100"/>
        <c:noMultiLvlLbl val="0"/>
      </c:catAx>
      <c:valAx>
        <c:axId val="142172544"/>
        <c:scaling>
          <c:orientation val="minMax"/>
        </c:scaling>
        <c:delete val="0"/>
        <c:axPos val="l"/>
        <c:numFmt formatCode="0.00_ "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10521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Sheet1!$C$20</c:f>
              <c:strCache>
                <c:ptCount val="1"/>
                <c:pt idx="0">
                  <c:v>增长速度（%）</c:v>
                </c:pt>
              </c:strCache>
            </c:strRef>
          </c:tx>
          <c:dLbls>
            <c:delete val="1"/>
          </c:dLbls>
          <c:cat>
            <c:numRef>
              <c:f>Sheet1!$A$21:$A$35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Sheet1!$C$21:$C$35</c:f>
              <c:numCache>
                <c:formatCode>0.00_);[Red]\(0.00\)</c:formatCode>
                <c:ptCount val="15"/>
                <c:pt idx="0">
                  <c:v>16.3693913727</c:v>
                </c:pt>
                <c:pt idx="1" c:formatCode="0.00_ ">
                  <c:v>13.1877666050063</c:v>
                </c:pt>
                <c:pt idx="2" c:formatCode="0.00_ ">
                  <c:v>18.251626673487</c:v>
                </c:pt>
                <c:pt idx="3" c:formatCode="0.00_ ">
                  <c:v>17.7608625683939</c:v>
                </c:pt>
                <c:pt idx="4" c:formatCode="0.00_ ">
                  <c:v>12.3091261414168</c:v>
                </c:pt>
                <c:pt idx="5" c:formatCode="0.00_ ">
                  <c:v>37.9020247250073</c:v>
                </c:pt>
                <c:pt idx="6" c:formatCode="0.00_ ">
                  <c:v>15.080920540635</c:v>
                </c:pt>
                <c:pt idx="7" c:formatCode="0.00_ ">
                  <c:v>6.40643458867433</c:v>
                </c:pt>
                <c:pt idx="8" c:formatCode="0.00_ ">
                  <c:v>20.2695878793538</c:v>
                </c:pt>
                <c:pt idx="9" c:formatCode="0.00_ ">
                  <c:v>31.6246382802811</c:v>
                </c:pt>
                <c:pt idx="10" c:formatCode="0.00_ ">
                  <c:v>18.1545044060884</c:v>
                </c:pt>
                <c:pt idx="11" c:formatCode="0.00_ ">
                  <c:v>4.71375532050299</c:v>
                </c:pt>
                <c:pt idx="12" c:formatCode="0.00_ ">
                  <c:v>2.36750704665997</c:v>
                </c:pt>
                <c:pt idx="13" c:formatCode="0.00_ ">
                  <c:v>10.3057659962911</c:v>
                </c:pt>
                <c:pt idx="14" c:formatCode="0.00_ ">
                  <c:v>9.59834228222905</c:v>
                </c:pt>
              </c:numCache>
            </c:numRef>
          </c:val>
          <c:smooth val="0"/>
        </c:ser>
        <c:ser>
          <c:idx val="2"/>
          <c:order val="2"/>
          <c:tx>
            <c:strRef>
              <c:f>Sheet1!$D$20</c:f>
              <c:strCache>
                <c:ptCount val="1"/>
                <c:pt idx="0">
                  <c:v>占GDP比重(%)</c:v>
                </c:pt>
              </c:strCache>
            </c:strRef>
          </c:tx>
          <c:dLbls>
            <c:delete val="1"/>
          </c:dLbls>
          <c:cat>
            <c:numRef>
              <c:f>Sheet1!$A$21:$A$35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Sheet1!$D$21:$D$35</c:f>
              <c:numCache>
                <c:formatCode>0.00_ </c:formatCode>
                <c:ptCount val="15"/>
                <c:pt idx="0">
                  <c:v>2.02169122962256</c:v>
                </c:pt>
                <c:pt idx="1">
                  <c:v>1.9624721588592</c:v>
                </c:pt>
                <c:pt idx="2">
                  <c:v>1.9243561427653</c:v>
                </c:pt>
                <c:pt idx="3">
                  <c:v>1.9782463888162</c:v>
                </c:pt>
                <c:pt idx="4">
                  <c:v>1.94339137212171</c:v>
                </c:pt>
                <c:pt idx="5">
                  <c:v>2.2677547080561</c:v>
                </c:pt>
                <c:pt idx="6">
                  <c:v>2.31745589508353</c:v>
                </c:pt>
                <c:pt idx="7">
                  <c:v>2.30587148463591</c:v>
                </c:pt>
                <c:pt idx="8">
                  <c:v>2.43083995204468</c:v>
                </c:pt>
                <c:pt idx="9">
                  <c:v>2.86126729489797</c:v>
                </c:pt>
                <c:pt idx="10">
                  <c:v>3.21554258011706</c:v>
                </c:pt>
                <c:pt idx="11">
                  <c:v>3.11457112541622</c:v>
                </c:pt>
                <c:pt idx="12">
                  <c:v>2.95162446908268</c:v>
                </c:pt>
                <c:pt idx="13">
                  <c:v>3.05419836845656</c:v>
                </c:pt>
                <c:pt idx="14">
                  <c:v>2.98442260363786</c:v>
                </c:pt>
              </c:numCache>
            </c:numRef>
          </c:val>
          <c:smooth val="0"/>
        </c:ser>
        <c:ser>
          <c:idx val="3"/>
          <c:order val="3"/>
          <c:tx>
            <c:strRef>
              <c:f>Sheet1!$E$20</c:f>
              <c:strCache>
                <c:ptCount val="1"/>
                <c:pt idx="0">
                  <c:v>占财政支出比重(%)</c:v>
                </c:pt>
              </c:strCache>
            </c:strRef>
          </c:tx>
          <c:dLbls>
            <c:delete val="1"/>
          </c:dLbls>
          <c:cat>
            <c:numRef>
              <c:f>Sheet1!$A$21:$A$35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Sheet1!$E$21:$E$35</c:f>
              <c:numCache>
                <c:formatCode>0.00_ </c:formatCode>
                <c:ptCount val="15"/>
                <c:pt idx="0">
                  <c:v>13.4587884691203</c:v>
                </c:pt>
                <c:pt idx="1">
                  <c:v>12.0698034781199</c:v>
                </c:pt>
                <c:pt idx="2">
                  <c:v>11.2366832464706</c:v>
                </c:pt>
                <c:pt idx="3">
                  <c:v>11.1125858387674</c:v>
                </c:pt>
                <c:pt idx="4">
                  <c:v>11.4426314599408</c:v>
                </c:pt>
                <c:pt idx="5">
                  <c:v>12.9869531617406</c:v>
                </c:pt>
                <c:pt idx="6">
                  <c:v>12.5702909203578</c:v>
                </c:pt>
                <c:pt idx="7">
                  <c:v>11.605097586674</c:v>
                </c:pt>
                <c:pt idx="8">
                  <c:v>12.6337231963971</c:v>
                </c:pt>
                <c:pt idx="9">
                  <c:v>14.0295487984306</c:v>
                </c:pt>
                <c:pt idx="10">
                  <c:v>15.5102572479988</c:v>
                </c:pt>
                <c:pt idx="11">
                  <c:v>15.0055340406044</c:v>
                </c:pt>
                <c:pt idx="12">
                  <c:v>14.1289423655005</c:v>
                </c:pt>
                <c:pt idx="13">
                  <c:v>12.3929995025486</c:v>
                </c:pt>
                <c:pt idx="14">
                  <c:v>12.1546074976803</c:v>
                </c:pt>
              </c:numCache>
            </c:numRef>
          </c:val>
          <c:smooth val="0"/>
        </c:ser>
        <c:dLbls>
          <c:showLegendKey val="0"/>
          <c:showVal val="0"/>
          <c:showCatName val="0"/>
          <c:showSerName val="0"/>
          <c:showPercent val="0"/>
          <c:showBubbleSize val="0"/>
        </c:dLbls>
        <c:marker val="1"/>
        <c:smooth val="0"/>
        <c:axId val="131868160"/>
        <c:axId val="131869696"/>
      </c:lineChart>
      <c:lineChart>
        <c:grouping val="standard"/>
        <c:varyColors val="0"/>
        <c:ser>
          <c:idx val="0"/>
          <c:order val="0"/>
          <c:tx>
            <c:strRef>
              <c:f>Sheet1!$B$20</c:f>
              <c:strCache>
                <c:ptCount val="1"/>
                <c:pt idx="0">
                  <c:v>财政教育支出（亿元）</c:v>
                </c:pt>
              </c:strCache>
            </c:strRef>
          </c:tx>
          <c:dLbls>
            <c:delete val="1"/>
          </c:dLbls>
          <c:cat>
            <c:numRef>
              <c:f>Sheet1!$A$21:$A$35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Sheet1!$B$21:$B$35</c:f>
              <c:numCache>
                <c:formatCode>0.00_ </c:formatCode>
                <c:ptCount val="15"/>
                <c:pt idx="0">
                  <c:v>116.0659</c:v>
                </c:pt>
                <c:pt idx="1">
                  <c:v>131.3724</c:v>
                </c:pt>
                <c:pt idx="2">
                  <c:v>155.35</c:v>
                </c:pt>
                <c:pt idx="3">
                  <c:v>182.9415</c:v>
                </c:pt>
                <c:pt idx="4">
                  <c:v>205.46</c:v>
                </c:pt>
                <c:pt idx="5">
                  <c:v>283.3335</c:v>
                </c:pt>
                <c:pt idx="6">
                  <c:v>326.0628</c:v>
                </c:pt>
                <c:pt idx="7">
                  <c:v>346.9518</c:v>
                </c:pt>
                <c:pt idx="8">
                  <c:v>417.2775</c:v>
                </c:pt>
                <c:pt idx="9">
                  <c:v>549.24</c:v>
                </c:pt>
                <c:pt idx="10">
                  <c:v>648.9518</c:v>
                </c:pt>
                <c:pt idx="11">
                  <c:v>679.5418</c:v>
                </c:pt>
                <c:pt idx="12">
                  <c:v>695.63</c:v>
                </c:pt>
                <c:pt idx="13">
                  <c:v>767.32</c:v>
                </c:pt>
                <c:pt idx="14">
                  <c:v>840.97</c:v>
                </c:pt>
              </c:numCache>
            </c:numRef>
          </c:val>
          <c:smooth val="0"/>
        </c:ser>
        <c:dLbls>
          <c:showLegendKey val="0"/>
          <c:showVal val="0"/>
          <c:showCatName val="0"/>
          <c:showSerName val="0"/>
          <c:showPercent val="0"/>
          <c:showBubbleSize val="0"/>
        </c:dLbls>
        <c:marker val="1"/>
        <c:smooth val="0"/>
        <c:axId val="131875584"/>
        <c:axId val="131877120"/>
      </c:lineChart>
      <c:catAx>
        <c:axId val="13186816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869696"/>
        <c:crosses val="autoZero"/>
        <c:auto val="1"/>
        <c:lblAlgn val="ctr"/>
        <c:lblOffset val="100"/>
        <c:noMultiLvlLbl val="0"/>
      </c:catAx>
      <c:valAx>
        <c:axId val="13186969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868160"/>
        <c:crosses val="autoZero"/>
        <c:crossBetween val="between"/>
      </c:valAx>
      <c:catAx>
        <c:axId val="131875584"/>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877120"/>
        <c:crosses val="autoZero"/>
        <c:auto val="1"/>
        <c:lblAlgn val="ctr"/>
        <c:lblOffset val="100"/>
        <c:noMultiLvlLbl val="0"/>
      </c:catAx>
      <c:valAx>
        <c:axId val="131877120"/>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875584"/>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Sheet1!$C$38</c:f>
              <c:strCache>
                <c:ptCount val="1"/>
                <c:pt idx="0">
                  <c:v>增长速度（%）</c:v>
                </c:pt>
              </c:strCache>
            </c:strRef>
          </c:tx>
          <c:dLbls>
            <c:delete val="1"/>
          </c:dLbls>
          <c:cat>
            <c:numRef>
              <c:f>Sheet1!$A$39:$A$53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Sheet1!$C$39:$C$53</c:f>
              <c:numCache>
                <c:formatCode>0.00_);[Red]\(0.00\)</c:formatCode>
                <c:ptCount val="15"/>
                <c:pt idx="0">
                  <c:v>12.3082146737082</c:v>
                </c:pt>
                <c:pt idx="1" c:formatCode="0.00_ ">
                  <c:v>10.2640896020492</c:v>
                </c:pt>
                <c:pt idx="2" c:formatCode="0.00_ ">
                  <c:v>19.7088285124913</c:v>
                </c:pt>
                <c:pt idx="3" c:formatCode="0.00_ ">
                  <c:v>20.4642896294033</c:v>
                </c:pt>
                <c:pt idx="4" c:formatCode="0.00_ ">
                  <c:v>15.4837807790353</c:v>
                </c:pt>
                <c:pt idx="5" c:formatCode="0.00_ ">
                  <c:v>65.2768444786021</c:v>
                </c:pt>
                <c:pt idx="6" c:formatCode="0.00_ ">
                  <c:v>20.2285588151038</c:v>
                </c:pt>
                <c:pt idx="7" c:formatCode="0.00_ ">
                  <c:v>14.8540541124314</c:v>
                </c:pt>
                <c:pt idx="8" c:formatCode="0.00_ ">
                  <c:v>27.141475647225</c:v>
                </c:pt>
                <c:pt idx="9" c:formatCode="0.00_ ">
                  <c:v>26.3310188863267</c:v>
                </c:pt>
                <c:pt idx="10" c:formatCode="0.00_ ">
                  <c:v>23.5439069903588</c:v>
                </c:pt>
                <c:pt idx="11" c:formatCode="0.00_ ">
                  <c:v>6.24753305310865</c:v>
                </c:pt>
                <c:pt idx="12" c:formatCode="0.00_ ">
                  <c:v>4.86929387409482</c:v>
                </c:pt>
                <c:pt idx="13" c:formatCode="0.00_ ">
                  <c:v>16.0387012745372</c:v>
                </c:pt>
                <c:pt idx="14" c:formatCode="0.00_ ">
                  <c:v>5.53882099620896</c:v>
                </c:pt>
              </c:numCache>
            </c:numRef>
          </c:val>
          <c:smooth val="0"/>
        </c:ser>
        <c:ser>
          <c:idx val="2"/>
          <c:order val="2"/>
          <c:tx>
            <c:strRef>
              <c:f>Sheet1!$D$38</c:f>
              <c:strCache>
                <c:ptCount val="1"/>
                <c:pt idx="0">
                  <c:v>占GDP比重(%)</c:v>
                </c:pt>
              </c:strCache>
            </c:strRef>
          </c:tx>
          <c:dLbls>
            <c:delete val="1"/>
          </c:dLbls>
          <c:cat>
            <c:numRef>
              <c:f>Sheet1!$A$39:$A$53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Sheet1!$D$39:$D$53</c:f>
              <c:numCache>
                <c:formatCode>0.00_ </c:formatCode>
                <c:ptCount val="15"/>
                <c:pt idx="0">
                  <c:v>1.53115203854113</c:v>
                </c:pt>
                <c:pt idx="1">
                  <c:v>1.43919047615221</c:v>
                </c:pt>
                <c:pt idx="2">
                  <c:v>1.42879375616519</c:v>
                </c:pt>
                <c:pt idx="3">
                  <c:v>1.38848435024187</c:v>
                </c:pt>
                <c:pt idx="4">
                  <c:v>1.37165170717573</c:v>
                </c:pt>
                <c:pt idx="5">
                  <c:v>1.89441197179851</c:v>
                </c:pt>
                <c:pt idx="6">
                  <c:v>1.91273508019823</c:v>
                </c:pt>
                <c:pt idx="7">
                  <c:v>1.97528187060507</c:v>
                </c:pt>
                <c:pt idx="8">
                  <c:v>2.08895950028823</c:v>
                </c:pt>
                <c:pt idx="9">
                  <c:v>2.22605169957323</c:v>
                </c:pt>
                <c:pt idx="10">
                  <c:v>2.49842984101215</c:v>
                </c:pt>
                <c:pt idx="11">
                  <c:v>2.40151526181703</c:v>
                </c:pt>
                <c:pt idx="12">
                  <c:v>2.31202771864445</c:v>
                </c:pt>
                <c:pt idx="13">
                  <c:v>2.49045943330218</c:v>
                </c:pt>
                <c:pt idx="14">
                  <c:v>2.38142002897596</c:v>
                </c:pt>
              </c:numCache>
            </c:numRef>
          </c:val>
          <c:smooth val="0"/>
        </c:ser>
        <c:ser>
          <c:idx val="3"/>
          <c:order val="3"/>
          <c:tx>
            <c:strRef>
              <c:f>Sheet1!$E$38</c:f>
              <c:strCache>
                <c:ptCount val="1"/>
                <c:pt idx="0">
                  <c:v>占财政支出比重(%)</c:v>
                </c:pt>
              </c:strCache>
            </c:strRef>
          </c:tx>
          <c:dLbls>
            <c:delete val="1"/>
          </c:dLbls>
          <c:cat>
            <c:numRef>
              <c:f>Sheet1!$A$39:$A$53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Sheet1!$E$39:$E$53</c:f>
              <c:numCache>
                <c:formatCode>0.00_ </c:formatCode>
                <c:ptCount val="15"/>
                <c:pt idx="0">
                  <c:v>18.8790467887242</c:v>
                </c:pt>
                <c:pt idx="1">
                  <c:v>17.0926613935613</c:v>
                </c:pt>
                <c:pt idx="2">
                  <c:v>16.3387118262517</c:v>
                </c:pt>
                <c:pt idx="3">
                  <c:v>15.4320808009339</c:v>
                </c:pt>
                <c:pt idx="4">
                  <c:v>14.8131215881662</c:v>
                </c:pt>
                <c:pt idx="5">
                  <c:v>19.3011321476416</c:v>
                </c:pt>
                <c:pt idx="6">
                  <c:v>18.2480225436688</c:v>
                </c:pt>
                <c:pt idx="7">
                  <c:v>16.942174022568</c:v>
                </c:pt>
                <c:pt idx="8">
                  <c:v>17.6099098346341</c:v>
                </c:pt>
                <c:pt idx="9">
                  <c:v>17.5710253756196</c:v>
                </c:pt>
                <c:pt idx="10">
                  <c:v>19.2184233557469</c:v>
                </c:pt>
                <c:pt idx="11">
                  <c:v>18.4008609274402</c:v>
                </c:pt>
                <c:pt idx="12">
                  <c:v>17.7618044367332</c:v>
                </c:pt>
                <c:pt idx="13">
                  <c:v>18.0253479197075</c:v>
                </c:pt>
                <c:pt idx="14">
                  <c:v>18.4627067229282</c:v>
                </c:pt>
              </c:numCache>
            </c:numRef>
          </c:val>
          <c:smooth val="0"/>
        </c:ser>
        <c:dLbls>
          <c:showLegendKey val="0"/>
          <c:showVal val="0"/>
          <c:showCatName val="0"/>
          <c:showSerName val="0"/>
          <c:showPercent val="0"/>
          <c:showBubbleSize val="0"/>
        </c:dLbls>
        <c:marker val="1"/>
        <c:smooth val="0"/>
        <c:axId val="131905024"/>
        <c:axId val="131906560"/>
      </c:lineChart>
      <c:lineChart>
        <c:grouping val="standard"/>
        <c:varyColors val="0"/>
        <c:ser>
          <c:idx val="0"/>
          <c:order val="0"/>
          <c:tx>
            <c:strRef>
              <c:f>Sheet1!$B$38</c:f>
              <c:strCache>
                <c:ptCount val="1"/>
                <c:pt idx="0">
                  <c:v>财政教育支出（亿元）</c:v>
                </c:pt>
              </c:strCache>
            </c:strRef>
          </c:tx>
          <c:dLbls>
            <c:delete val="1"/>
          </c:dLbls>
          <c:cat>
            <c:numRef>
              <c:f>Sheet1!$A$39:$A$53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Sheet1!$B$39:$B$53</c:f>
              <c:numCache>
                <c:formatCode>0.00_ </c:formatCode>
                <c:ptCount val="15"/>
                <c:pt idx="0">
                  <c:v>162.407</c:v>
                </c:pt>
                <c:pt idx="1">
                  <c:v>179.0766</c:v>
                </c:pt>
                <c:pt idx="2">
                  <c:v>214.3705</c:v>
                </c:pt>
                <c:pt idx="3">
                  <c:v>258.2399</c:v>
                </c:pt>
                <c:pt idx="4">
                  <c:v>298.2252</c:v>
                </c:pt>
                <c:pt idx="5">
                  <c:v>492.8972</c:v>
                </c:pt>
                <c:pt idx="6">
                  <c:v>592.6032</c:v>
                </c:pt>
                <c:pt idx="7">
                  <c:v>680.6288</c:v>
                </c:pt>
                <c:pt idx="8">
                  <c:v>865.3615</c:v>
                </c:pt>
                <c:pt idx="9">
                  <c:v>1093.22</c:v>
                </c:pt>
                <c:pt idx="10">
                  <c:v>1350.6067</c:v>
                </c:pt>
                <c:pt idx="11">
                  <c:v>1434.9863</c:v>
                </c:pt>
                <c:pt idx="12">
                  <c:v>1504.86</c:v>
                </c:pt>
                <c:pt idx="13">
                  <c:v>1746.22</c:v>
                </c:pt>
                <c:pt idx="14">
                  <c:v>1842.94</c:v>
                </c:pt>
              </c:numCache>
            </c:numRef>
          </c:val>
          <c:smooth val="0"/>
        </c:ser>
        <c:dLbls>
          <c:showLegendKey val="0"/>
          <c:showVal val="0"/>
          <c:showCatName val="0"/>
          <c:showSerName val="0"/>
          <c:showPercent val="0"/>
          <c:showBubbleSize val="0"/>
        </c:dLbls>
        <c:marker val="1"/>
        <c:smooth val="0"/>
        <c:axId val="131920640"/>
        <c:axId val="131922176"/>
      </c:lineChart>
      <c:catAx>
        <c:axId val="13190502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906560"/>
        <c:crosses val="autoZero"/>
        <c:auto val="1"/>
        <c:lblAlgn val="ctr"/>
        <c:lblOffset val="100"/>
        <c:noMultiLvlLbl val="0"/>
      </c:catAx>
      <c:valAx>
        <c:axId val="13190656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905024"/>
        <c:crosses val="autoZero"/>
        <c:crossBetween val="between"/>
      </c:valAx>
      <c:catAx>
        <c:axId val="131920640"/>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922176"/>
        <c:crosses val="autoZero"/>
        <c:auto val="1"/>
        <c:lblAlgn val="ctr"/>
        <c:lblOffset val="100"/>
        <c:noMultiLvlLbl val="0"/>
      </c:catAx>
      <c:valAx>
        <c:axId val="131922176"/>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920640"/>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Sheet1!$C$56</c:f>
              <c:strCache>
                <c:ptCount val="1"/>
                <c:pt idx="0">
                  <c:v>增长速度（%）</c:v>
                </c:pt>
              </c:strCache>
            </c:strRef>
          </c:tx>
          <c:dLbls>
            <c:delete val="1"/>
          </c:dLbls>
          <c:cat>
            <c:numRef>
              <c:f>Sheet1!$A$57:$A$71</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Sheet1!$C$57:$C$71</c:f>
              <c:numCache>
                <c:formatCode>0.00_);[Red]\(0.00\)</c:formatCode>
                <c:ptCount val="15"/>
                <c:pt idx="0">
                  <c:v>26.4464526947479</c:v>
                </c:pt>
                <c:pt idx="1">
                  <c:v>19.9132311853634</c:v>
                </c:pt>
                <c:pt idx="2">
                  <c:v>21.8456526041746</c:v>
                </c:pt>
                <c:pt idx="3">
                  <c:v>15.7283322595946</c:v>
                </c:pt>
                <c:pt idx="4">
                  <c:v>16.1922168492271</c:v>
                </c:pt>
                <c:pt idx="5">
                  <c:v>42.6873444944243</c:v>
                </c:pt>
                <c:pt idx="6">
                  <c:v>18.2609225697247</c:v>
                </c:pt>
                <c:pt idx="7">
                  <c:v>14.3924031840335</c:v>
                </c:pt>
                <c:pt idx="8">
                  <c:v>16.7933201663758</c:v>
                </c:pt>
                <c:pt idx="9">
                  <c:v>23.8856727576326</c:v>
                </c:pt>
                <c:pt idx="10">
                  <c:v>16.8271406137713</c:v>
                </c:pt>
                <c:pt idx="11">
                  <c:v>8.22480741573995</c:v>
                </c:pt>
                <c:pt idx="12">
                  <c:v>8.51783825317215</c:v>
                </c:pt>
                <c:pt idx="13">
                  <c:v>22.6908117440518</c:v>
                </c:pt>
                <c:pt idx="14">
                  <c:v>2.77485710671736</c:v>
                </c:pt>
              </c:numCache>
            </c:numRef>
          </c:val>
          <c:smooth val="0"/>
        </c:ser>
        <c:ser>
          <c:idx val="2"/>
          <c:order val="2"/>
          <c:tx>
            <c:strRef>
              <c:f>Sheet1!$D$56</c:f>
              <c:strCache>
                <c:ptCount val="1"/>
                <c:pt idx="0">
                  <c:v>占GDP比重(%)</c:v>
                </c:pt>
              </c:strCache>
            </c:strRef>
          </c:tx>
          <c:dLbls>
            <c:delete val="1"/>
          </c:dLbls>
          <c:cat>
            <c:numRef>
              <c:f>Sheet1!$A$57:$A$71</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Sheet1!$D$57:$D$71</c:f>
              <c:numCache>
                <c:formatCode>0.00_ </c:formatCode>
                <c:ptCount val="15"/>
                <c:pt idx="0">
                  <c:v>1.71094760278722</c:v>
                </c:pt>
                <c:pt idx="1">
                  <c:v>1.69198517880437</c:v>
                </c:pt>
                <c:pt idx="2">
                  <c:v>1.71761398267618</c:v>
                </c:pt>
                <c:pt idx="3">
                  <c:v>1.72569997197727</c:v>
                </c:pt>
                <c:pt idx="4">
                  <c:v>1.71162842185022</c:v>
                </c:pt>
                <c:pt idx="5">
                  <c:v>2.04699865040181</c:v>
                </c:pt>
                <c:pt idx="6">
                  <c:v>2.11525302746301</c:v>
                </c:pt>
                <c:pt idx="7">
                  <c:v>2.2589055842995</c:v>
                </c:pt>
                <c:pt idx="8">
                  <c:v>2.18792409434856</c:v>
                </c:pt>
                <c:pt idx="9">
                  <c:v>2.32502084696702</c:v>
                </c:pt>
                <c:pt idx="10">
                  <c:v>2.53239331631922</c:v>
                </c:pt>
                <c:pt idx="11">
                  <c:v>2.51628987583091</c:v>
                </c:pt>
                <c:pt idx="12">
                  <c:v>2.56637350979003</c:v>
                </c:pt>
                <c:pt idx="13">
                  <c:v>2.94948362526287</c:v>
                </c:pt>
                <c:pt idx="14">
                  <c:v>2.75130705232611</c:v>
                </c:pt>
              </c:numCache>
            </c:numRef>
          </c:val>
          <c:smooth val="0"/>
        </c:ser>
        <c:ser>
          <c:idx val="3"/>
          <c:order val="3"/>
          <c:tx>
            <c:strRef>
              <c:f>Sheet1!$E$56</c:f>
              <c:strCache>
                <c:ptCount val="1"/>
                <c:pt idx="0">
                  <c:v>占财政支出比重(%)</c:v>
                </c:pt>
              </c:strCache>
            </c:strRef>
          </c:tx>
          <c:dLbls>
            <c:delete val="1"/>
          </c:dLbls>
          <c:cat>
            <c:numRef>
              <c:f>Sheet1!$A$57:$A$71</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Sheet1!$E$57:$E$71</c:f>
              <c:numCache>
                <c:formatCode>0.00_ </c:formatCode>
                <c:ptCount val="15"/>
                <c:pt idx="0">
                  <c:v>18.2609147886385</c:v>
                </c:pt>
                <c:pt idx="1">
                  <c:v>18.3109122253767</c:v>
                </c:pt>
                <c:pt idx="2">
                  <c:v>18.8233152434931</c:v>
                </c:pt>
                <c:pt idx="3">
                  <c:v>18.2965300432347</c:v>
                </c:pt>
                <c:pt idx="4">
                  <c:v>18.2790433841061</c:v>
                </c:pt>
                <c:pt idx="5">
                  <c:v>21.2469631271499</c:v>
                </c:pt>
                <c:pt idx="6">
                  <c:v>20.5557917057492</c:v>
                </c:pt>
                <c:pt idx="7">
                  <c:v>19.5726373835688</c:v>
                </c:pt>
                <c:pt idx="8">
                  <c:v>18.9078934612017</c:v>
                </c:pt>
                <c:pt idx="9">
                  <c:v>19.5550396997858</c:v>
                </c:pt>
                <c:pt idx="10">
                  <c:v>21.0929422028455</c:v>
                </c:pt>
                <c:pt idx="11">
                  <c:v>20.0839625543015</c:v>
                </c:pt>
                <c:pt idx="12">
                  <c:v>19.9820915308834</c:v>
                </c:pt>
                <c:pt idx="13">
                  <c:v>19.0330094282559</c:v>
                </c:pt>
                <c:pt idx="14">
                  <c:v>18.6404005586256</c:v>
                </c:pt>
              </c:numCache>
            </c:numRef>
          </c:val>
          <c:smooth val="0"/>
        </c:ser>
        <c:dLbls>
          <c:showLegendKey val="0"/>
          <c:showVal val="0"/>
          <c:showCatName val="0"/>
          <c:showSerName val="0"/>
          <c:showPercent val="0"/>
          <c:showBubbleSize val="0"/>
        </c:dLbls>
        <c:marker val="1"/>
        <c:smooth val="0"/>
        <c:axId val="141575680"/>
        <c:axId val="141577216"/>
      </c:lineChart>
      <c:lineChart>
        <c:grouping val="standard"/>
        <c:varyColors val="0"/>
        <c:ser>
          <c:idx val="0"/>
          <c:order val="0"/>
          <c:tx>
            <c:strRef>
              <c:f>Sheet1!$B$56</c:f>
              <c:strCache>
                <c:ptCount val="1"/>
                <c:pt idx="0">
                  <c:v>财政教育支出（亿元）</c:v>
                </c:pt>
              </c:strCache>
            </c:strRef>
          </c:tx>
          <c:dLbls>
            <c:delete val="1"/>
          </c:dLbls>
          <c:cat>
            <c:numRef>
              <c:f>Sheet1!$A$57:$A$71</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Sheet1!$B$57:$B$71</c:f>
              <c:numCache>
                <c:formatCode>0.00_ </c:formatCode>
                <c:ptCount val="15"/>
                <c:pt idx="0">
                  <c:v>136.9386</c:v>
                </c:pt>
                <c:pt idx="1">
                  <c:v>164.2075</c:v>
                </c:pt>
                <c:pt idx="2">
                  <c:v>200.0797</c:v>
                </c:pt>
                <c:pt idx="3">
                  <c:v>231.5489</c:v>
                </c:pt>
                <c:pt idx="4">
                  <c:v>269.0418</c:v>
                </c:pt>
                <c:pt idx="5">
                  <c:v>383.8886</c:v>
                </c:pt>
                <c:pt idx="6">
                  <c:v>453.9902</c:v>
                </c:pt>
                <c:pt idx="7">
                  <c:v>519.330299999999</c:v>
                </c:pt>
                <c:pt idx="8">
                  <c:v>606.5431</c:v>
                </c:pt>
                <c:pt idx="9">
                  <c:v>751.42</c:v>
                </c:pt>
                <c:pt idx="10">
                  <c:v>877.862499999999</c:v>
                </c:pt>
                <c:pt idx="11">
                  <c:v>950.065</c:v>
                </c:pt>
                <c:pt idx="12">
                  <c:v>1030.99</c:v>
                </c:pt>
                <c:pt idx="13">
                  <c:v>1264.93</c:v>
                </c:pt>
                <c:pt idx="14">
                  <c:v>1300.03</c:v>
                </c:pt>
              </c:numCache>
            </c:numRef>
          </c:val>
          <c:smooth val="0"/>
        </c:ser>
        <c:dLbls>
          <c:showLegendKey val="0"/>
          <c:showVal val="0"/>
          <c:showCatName val="0"/>
          <c:showSerName val="0"/>
          <c:showPercent val="0"/>
          <c:showBubbleSize val="0"/>
        </c:dLbls>
        <c:marker val="1"/>
        <c:smooth val="0"/>
        <c:axId val="141583104"/>
        <c:axId val="141584640"/>
      </c:lineChart>
      <c:catAx>
        <c:axId val="14157568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577216"/>
        <c:crosses val="autoZero"/>
        <c:auto val="1"/>
        <c:lblAlgn val="ctr"/>
        <c:lblOffset val="100"/>
        <c:noMultiLvlLbl val="0"/>
      </c:catAx>
      <c:valAx>
        <c:axId val="141577216"/>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575680"/>
        <c:crosses val="autoZero"/>
        <c:crossBetween val="between"/>
      </c:valAx>
      <c:catAx>
        <c:axId val="141583104"/>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584640"/>
        <c:crosses val="autoZero"/>
        <c:auto val="1"/>
        <c:lblAlgn val="ctr"/>
        <c:lblOffset val="100"/>
        <c:noMultiLvlLbl val="0"/>
      </c:catAx>
      <c:valAx>
        <c:axId val="141584640"/>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583104"/>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Sheet1!$C$74</c:f>
              <c:strCache>
                <c:ptCount val="1"/>
                <c:pt idx="0">
                  <c:v>增长速度（%）</c:v>
                </c:pt>
              </c:strCache>
            </c:strRef>
          </c:tx>
          <c:dLbls>
            <c:delete val="1"/>
          </c:dLbls>
          <c:cat>
            <c:numRef>
              <c:f>Sheet1!$A$75:$A$89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Sheet1!$C$75:$C$89</c:f>
              <c:numCache>
                <c:formatCode>0.00_);[Red]\(0.00\)</c:formatCode>
                <c:ptCount val="15"/>
                <c:pt idx="0">
                  <c:v>15.3468219795646</c:v>
                </c:pt>
                <c:pt idx="1">
                  <c:v>9.94158205621282</c:v>
                </c:pt>
                <c:pt idx="2">
                  <c:v>24.8426218845164</c:v>
                </c:pt>
                <c:pt idx="3">
                  <c:v>11.241921946728</c:v>
                </c:pt>
                <c:pt idx="4">
                  <c:v>29.5105559680903</c:v>
                </c:pt>
                <c:pt idx="5">
                  <c:v>40.030495943737</c:v>
                </c:pt>
                <c:pt idx="6">
                  <c:v>34.4134875672933</c:v>
                </c:pt>
                <c:pt idx="7">
                  <c:v>13.1126471892088</c:v>
                </c:pt>
                <c:pt idx="8">
                  <c:v>19.3073997641691</c:v>
                </c:pt>
                <c:pt idx="9">
                  <c:v>46.181625965456</c:v>
                </c:pt>
                <c:pt idx="10">
                  <c:v>27.133519859751</c:v>
                </c:pt>
                <c:pt idx="11">
                  <c:v>2.5980738943613</c:v>
                </c:pt>
                <c:pt idx="12">
                  <c:v>0.879976084330433</c:v>
                </c:pt>
                <c:pt idx="13">
                  <c:v>15.2960017225833</c:v>
                </c:pt>
                <c:pt idx="14">
                  <c:v>6.31937716666861</c:v>
                </c:pt>
              </c:numCache>
            </c:numRef>
          </c:val>
          <c:smooth val="0"/>
        </c:ser>
        <c:ser>
          <c:idx val="2"/>
          <c:order val="2"/>
          <c:tx>
            <c:strRef>
              <c:f>Sheet1!$D$74</c:f>
              <c:strCache>
                <c:ptCount val="1"/>
                <c:pt idx="0">
                  <c:v>占GDP比重(%)</c:v>
                </c:pt>
              </c:strCache>
            </c:strRef>
          </c:tx>
          <c:dLbls>
            <c:delete val="1"/>
          </c:dLbls>
          <c:cat>
            <c:numRef>
              <c:f>Sheet1!$A$75:$A$89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Sheet1!$D$75:$D$89</c:f>
              <c:numCache>
                <c:formatCode>0.00_ </c:formatCode>
                <c:ptCount val="15"/>
                <c:pt idx="0">
                  <c:v>2.18515393269919</c:v>
                </c:pt>
                <c:pt idx="1">
                  <c:v>2.15536908218225</c:v>
                </c:pt>
                <c:pt idx="2">
                  <c:v>2.21805307503204</c:v>
                </c:pt>
                <c:pt idx="3">
                  <c:v>2.19490595625933</c:v>
                </c:pt>
                <c:pt idx="4">
                  <c:v>2.48811124744376</c:v>
                </c:pt>
                <c:pt idx="5">
                  <c:v>2.89320492547127</c:v>
                </c:pt>
                <c:pt idx="6">
                  <c:v>3.23392109502624</c:v>
                </c:pt>
                <c:pt idx="7">
                  <c:v>3.2177004060492</c:v>
                </c:pt>
                <c:pt idx="8">
                  <c:v>3.1256314055859</c:v>
                </c:pt>
                <c:pt idx="9">
                  <c:v>3.69075823576123</c:v>
                </c:pt>
                <c:pt idx="10">
                  <c:v>4.171122556581</c:v>
                </c:pt>
                <c:pt idx="11">
                  <c:v>3.83054332597999</c:v>
                </c:pt>
                <c:pt idx="12">
                  <c:v>3.56409856706038</c:v>
                </c:pt>
                <c:pt idx="13">
                  <c:v>3.89323095953172</c:v>
                </c:pt>
                <c:pt idx="14">
                  <c:v>3.73190831387903</c:v>
                </c:pt>
              </c:numCache>
            </c:numRef>
          </c:val>
          <c:smooth val="0"/>
        </c:ser>
        <c:ser>
          <c:idx val="3"/>
          <c:order val="3"/>
          <c:tx>
            <c:strRef>
              <c:f>Sheet1!$E$74</c:f>
              <c:strCache>
                <c:ptCount val="1"/>
                <c:pt idx="0">
                  <c:v>占财政支出比重(%)</c:v>
                </c:pt>
              </c:strCache>
            </c:strRef>
          </c:tx>
          <c:dLbls>
            <c:delete val="1"/>
          </c:dLbls>
          <c:cat>
            <c:numRef>
              <c:f>Sheet1!$A$75:$A$89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Sheet1!$E$75:$E$89</c:f>
              <c:numCache>
                <c:formatCode>0.00_ </c:formatCode>
                <c:ptCount val="15"/>
                <c:pt idx="0">
                  <c:v>16.8347633848444</c:v>
                </c:pt>
                <c:pt idx="1">
                  <c:v>16.6635529968284</c:v>
                </c:pt>
                <c:pt idx="2">
                  <c:v>17.5492745142371</c:v>
                </c:pt>
                <c:pt idx="3">
                  <c:v>16.4685519504369</c:v>
                </c:pt>
                <c:pt idx="4">
                  <c:v>16.1753327287314</c:v>
                </c:pt>
                <c:pt idx="5">
                  <c:v>17.1217755549735</c:v>
                </c:pt>
                <c:pt idx="6">
                  <c:v>17.379108923893</c:v>
                </c:pt>
                <c:pt idx="7">
                  <c:v>15.1168644493401</c:v>
                </c:pt>
                <c:pt idx="8">
                  <c:v>14.9290881346847</c:v>
                </c:pt>
                <c:pt idx="9">
                  <c:v>17.0969333846</c:v>
                </c:pt>
                <c:pt idx="10">
                  <c:v>18.1250757382969</c:v>
                </c:pt>
                <c:pt idx="11">
                  <c:v>16.9342801692563</c:v>
                </c:pt>
                <c:pt idx="12">
                  <c:v>15.9316910014794</c:v>
                </c:pt>
                <c:pt idx="13">
                  <c:v>16.3528987346846</c:v>
                </c:pt>
                <c:pt idx="14">
                  <c:v>16.4924542137807</c:v>
                </c:pt>
              </c:numCache>
            </c:numRef>
          </c:val>
          <c:smooth val="0"/>
        </c:ser>
        <c:dLbls>
          <c:showLegendKey val="0"/>
          <c:showVal val="0"/>
          <c:showCatName val="0"/>
          <c:showSerName val="0"/>
          <c:showPercent val="0"/>
          <c:showBubbleSize val="0"/>
        </c:dLbls>
        <c:marker val="1"/>
        <c:smooth val="0"/>
        <c:axId val="141620736"/>
        <c:axId val="141622272"/>
      </c:lineChart>
      <c:lineChart>
        <c:grouping val="standard"/>
        <c:varyColors val="0"/>
        <c:ser>
          <c:idx val="0"/>
          <c:order val="0"/>
          <c:tx>
            <c:strRef>
              <c:f>Sheet1!$B$74</c:f>
              <c:strCache>
                <c:ptCount val="1"/>
                <c:pt idx="0">
                  <c:v>财政教育支出（亿元）</c:v>
                </c:pt>
              </c:strCache>
            </c:strRef>
          </c:tx>
          <c:dLbls>
            <c:delete val="1"/>
          </c:dLbls>
          <c:cat>
            <c:numRef>
              <c:f>Sheet1!$A$75:$A$89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Sheet1!$B$75:$B$89</c:f>
              <c:numCache>
                <c:formatCode>0.00_ </c:formatCode>
                <c:ptCount val="15"/>
                <c:pt idx="0">
                  <c:v>76.9113</c:v>
                </c:pt>
                <c:pt idx="1">
                  <c:v>84.5575</c:v>
                </c:pt>
                <c:pt idx="2">
                  <c:v>105.5638</c:v>
                </c:pt>
                <c:pt idx="3">
                  <c:v>117.4312</c:v>
                </c:pt>
                <c:pt idx="4">
                  <c:v>152.0858</c:v>
                </c:pt>
                <c:pt idx="5">
                  <c:v>212.9665</c:v>
                </c:pt>
                <c:pt idx="6">
                  <c:v>286.2557</c:v>
                </c:pt>
                <c:pt idx="7">
                  <c:v>323.7914</c:v>
                </c:pt>
                <c:pt idx="8">
                  <c:v>386.3071</c:v>
                </c:pt>
                <c:pt idx="9">
                  <c:v>564.71</c:v>
                </c:pt>
                <c:pt idx="10">
                  <c:v>717.9357</c:v>
                </c:pt>
                <c:pt idx="11">
                  <c:v>736.5882</c:v>
                </c:pt>
                <c:pt idx="12">
                  <c:v>743.07</c:v>
                </c:pt>
                <c:pt idx="13">
                  <c:v>856.73</c:v>
                </c:pt>
                <c:pt idx="14">
                  <c:v>910.87</c:v>
                </c:pt>
              </c:numCache>
            </c:numRef>
          </c:val>
          <c:smooth val="0"/>
        </c:ser>
        <c:dLbls>
          <c:showLegendKey val="0"/>
          <c:showVal val="0"/>
          <c:showCatName val="0"/>
          <c:showSerName val="0"/>
          <c:showPercent val="0"/>
          <c:showBubbleSize val="0"/>
        </c:dLbls>
        <c:marker val="1"/>
        <c:smooth val="0"/>
        <c:axId val="141759232"/>
        <c:axId val="141760768"/>
      </c:lineChart>
      <c:catAx>
        <c:axId val="14162073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622272"/>
        <c:crosses val="autoZero"/>
        <c:auto val="1"/>
        <c:lblAlgn val="ctr"/>
        <c:lblOffset val="100"/>
        <c:noMultiLvlLbl val="0"/>
      </c:catAx>
      <c:valAx>
        <c:axId val="14162227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620736"/>
        <c:crosses val="autoZero"/>
        <c:crossBetween val="between"/>
      </c:valAx>
      <c:catAx>
        <c:axId val="141759232"/>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60768"/>
        <c:crosses val="autoZero"/>
        <c:auto val="1"/>
        <c:lblAlgn val="ctr"/>
        <c:lblOffset val="100"/>
        <c:noMultiLvlLbl val="0"/>
      </c:catAx>
      <c:valAx>
        <c:axId val="141760768"/>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59232"/>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Sheet1!$C$92</c:f>
              <c:strCache>
                <c:ptCount val="1"/>
                <c:pt idx="0">
                  <c:v>增长速度（%）</c:v>
                </c:pt>
              </c:strCache>
            </c:strRef>
          </c:tx>
          <c:dLbls>
            <c:delete val="1"/>
          </c:dLbls>
          <c:cat>
            <c:numRef>
              <c:f>Sheet1!$A$93:$A$107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Sheet1!$C$93:$C$107</c:f>
              <c:numCache>
                <c:formatCode>0.00_);[Red]\(0.00\)</c:formatCode>
                <c:ptCount val="15"/>
                <c:pt idx="0">
                  <c:v>11.9298400611815</c:v>
                </c:pt>
                <c:pt idx="1">
                  <c:v>14.6577177234954</c:v>
                </c:pt>
                <c:pt idx="2">
                  <c:v>8.52915550679273</c:v>
                </c:pt>
                <c:pt idx="3">
                  <c:v>10.5214958328502</c:v>
                </c:pt>
                <c:pt idx="4">
                  <c:v>22.1790281054702</c:v>
                </c:pt>
                <c:pt idx="5">
                  <c:v>34.798200880183</c:v>
                </c:pt>
                <c:pt idx="6">
                  <c:v>27.0274699844818</c:v>
                </c:pt>
                <c:pt idx="7">
                  <c:v>18.9720792327908</c:v>
                </c:pt>
                <c:pt idx="8">
                  <c:v>18.0922037508552</c:v>
                </c:pt>
                <c:pt idx="9">
                  <c:v>24.0907824770013</c:v>
                </c:pt>
                <c:pt idx="10">
                  <c:v>38.2491579180291</c:v>
                </c:pt>
                <c:pt idx="11">
                  <c:v>2.24266086763526</c:v>
                </c:pt>
                <c:pt idx="12">
                  <c:v>10.3822450524107</c:v>
                </c:pt>
                <c:pt idx="13">
                  <c:v>19.3681058934762</c:v>
                </c:pt>
                <c:pt idx="14">
                  <c:v>4.17156209158955</c:v>
                </c:pt>
              </c:numCache>
            </c:numRef>
          </c:val>
          <c:smooth val="0"/>
        </c:ser>
        <c:ser>
          <c:idx val="2"/>
          <c:order val="2"/>
          <c:tx>
            <c:strRef>
              <c:f>Sheet1!$D$92</c:f>
              <c:strCache>
                <c:ptCount val="1"/>
                <c:pt idx="0">
                  <c:v>占GDP比重(%)</c:v>
                </c:pt>
              </c:strCache>
            </c:strRef>
          </c:tx>
          <c:dLbls>
            <c:delete val="1"/>
          </c:dLbls>
          <c:cat>
            <c:numRef>
              <c:f>Sheet1!$A$93:$A$107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Sheet1!$D$93:$D$107</c:f>
              <c:numCache>
                <c:formatCode>0.00_ </c:formatCode>
                <c:ptCount val="15"/>
                <c:pt idx="0">
                  <c:v>1.81491421472619</c:v>
                </c:pt>
                <c:pt idx="1">
                  <c:v>1.86543250255334</c:v>
                </c:pt>
                <c:pt idx="2">
                  <c:v>1.7506536996712</c:v>
                </c:pt>
                <c:pt idx="3">
                  <c:v>1.70125665744681</c:v>
                </c:pt>
                <c:pt idx="4">
                  <c:v>1.79650705116794</c:v>
                </c:pt>
                <c:pt idx="5">
                  <c:v>1.98577503668151</c:v>
                </c:pt>
                <c:pt idx="6">
                  <c:v>2.15552143072953</c:v>
                </c:pt>
                <c:pt idx="7">
                  <c:v>2.26823045422191</c:v>
                </c:pt>
                <c:pt idx="8">
                  <c:v>2.22409873842379</c:v>
                </c:pt>
                <c:pt idx="9">
                  <c:v>2.31620632590326</c:v>
                </c:pt>
                <c:pt idx="10">
                  <c:v>2.85406090211138</c:v>
                </c:pt>
                <c:pt idx="11">
                  <c:v>2.62894831787654</c:v>
                </c:pt>
                <c:pt idx="12">
                  <c:v>2.63803762591579</c:v>
                </c:pt>
                <c:pt idx="13">
                  <c:v>2.91576308072958</c:v>
                </c:pt>
                <c:pt idx="14">
                  <c:v>2.73895909072292</c:v>
                </c:pt>
              </c:numCache>
            </c:numRef>
          </c:val>
          <c:smooth val="0"/>
        </c:ser>
        <c:ser>
          <c:idx val="3"/>
          <c:order val="3"/>
          <c:tx>
            <c:strRef>
              <c:f>Sheet1!$E$92</c:f>
              <c:strCache>
                <c:ptCount val="1"/>
                <c:pt idx="0">
                  <c:v>占财政支出比重(%)</c:v>
                </c:pt>
              </c:strCache>
            </c:strRef>
          </c:tx>
          <c:dLbls>
            <c:delete val="1"/>
          </c:dLbls>
          <c:cat>
            <c:numRef>
              <c:f>Sheet1!$A$93:$A$107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Sheet1!$E$93:$E$107</c:f>
              <c:numCache>
                <c:formatCode>0.00_ </c:formatCode>
                <c:ptCount val="15"/>
                <c:pt idx="0">
                  <c:v>20.3949592514337</c:v>
                </c:pt>
                <c:pt idx="1">
                  <c:v>20.5542326901776</c:v>
                </c:pt>
                <c:pt idx="2">
                  <c:v>19.5278613188428</c:v>
                </c:pt>
                <c:pt idx="3">
                  <c:v>18.8026364000113</c:v>
                </c:pt>
                <c:pt idx="4">
                  <c:v>18.6969815861813</c:v>
                </c:pt>
                <c:pt idx="5">
                  <c:v>20.1675823916377</c:v>
                </c:pt>
                <c:pt idx="6">
                  <c:v>20.5053212317768</c:v>
                </c:pt>
                <c:pt idx="7">
                  <c:v>19.6591600169936</c:v>
                </c:pt>
                <c:pt idx="8">
                  <c:v>19.3363174806114</c:v>
                </c:pt>
                <c:pt idx="9">
                  <c:v>18.503034328399</c:v>
                </c:pt>
                <c:pt idx="10">
                  <c:v>21.5647313022195</c:v>
                </c:pt>
                <c:pt idx="11">
                  <c:v>18.7340715457368</c:v>
                </c:pt>
                <c:pt idx="12">
                  <c:v>19.1913387969879</c:v>
                </c:pt>
                <c:pt idx="13">
                  <c:v>18.9302725423458</c:v>
                </c:pt>
                <c:pt idx="14">
                  <c:v>18.4569864807971</c:v>
                </c:pt>
              </c:numCache>
            </c:numRef>
          </c:val>
          <c:smooth val="0"/>
        </c:ser>
        <c:dLbls>
          <c:showLegendKey val="0"/>
          <c:showVal val="0"/>
          <c:showCatName val="0"/>
          <c:showSerName val="0"/>
          <c:showPercent val="0"/>
          <c:showBubbleSize val="0"/>
        </c:dLbls>
        <c:marker val="1"/>
        <c:smooth val="0"/>
        <c:axId val="141796864"/>
        <c:axId val="141798400"/>
      </c:lineChart>
      <c:lineChart>
        <c:grouping val="standard"/>
        <c:varyColors val="0"/>
        <c:ser>
          <c:idx val="0"/>
          <c:order val="0"/>
          <c:tx>
            <c:strRef>
              <c:f>Sheet1!$B$92</c:f>
              <c:strCache>
                <c:ptCount val="1"/>
                <c:pt idx="0">
                  <c:v>财政教育支出（亿元）</c:v>
                </c:pt>
              </c:strCache>
            </c:strRef>
          </c:tx>
          <c:dLbls>
            <c:delete val="1"/>
          </c:dLbls>
          <c:cat>
            <c:numRef>
              <c:f>Sheet1!$A$93:$A$107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Sheet1!$B$93:$B$107</c:f>
              <c:numCache>
                <c:formatCode>0.00_ </c:formatCode>
                <c:ptCount val="15"/>
                <c:pt idx="0">
                  <c:v>81.0822</c:v>
                </c:pt>
                <c:pt idx="1">
                  <c:v>92.967</c:v>
                </c:pt>
                <c:pt idx="2">
                  <c:v>100.8963</c:v>
                </c:pt>
                <c:pt idx="3">
                  <c:v>111.5121</c:v>
                </c:pt>
                <c:pt idx="4">
                  <c:v>136.2444</c:v>
                </c:pt>
                <c:pt idx="5">
                  <c:v>183.655</c:v>
                </c:pt>
                <c:pt idx="6">
                  <c:v>233.2923</c:v>
                </c:pt>
                <c:pt idx="7">
                  <c:v>277.5527</c:v>
                </c:pt>
                <c:pt idx="8">
                  <c:v>327.7681</c:v>
                </c:pt>
                <c:pt idx="9">
                  <c:v>406.73</c:v>
                </c:pt>
                <c:pt idx="10">
                  <c:v>562.3008</c:v>
                </c:pt>
                <c:pt idx="11">
                  <c:v>574.9113</c:v>
                </c:pt>
                <c:pt idx="12">
                  <c:v>634.6</c:v>
                </c:pt>
                <c:pt idx="13">
                  <c:v>757.51</c:v>
                </c:pt>
                <c:pt idx="14">
                  <c:v>789.11</c:v>
                </c:pt>
              </c:numCache>
            </c:numRef>
          </c:val>
          <c:smooth val="0"/>
        </c:ser>
        <c:dLbls>
          <c:showLegendKey val="0"/>
          <c:showVal val="0"/>
          <c:showCatName val="0"/>
          <c:showSerName val="0"/>
          <c:showPercent val="0"/>
          <c:showBubbleSize val="0"/>
        </c:dLbls>
        <c:marker val="1"/>
        <c:smooth val="0"/>
        <c:axId val="141812480"/>
        <c:axId val="141814016"/>
      </c:lineChart>
      <c:catAx>
        <c:axId val="14179686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98400"/>
        <c:crosses val="autoZero"/>
        <c:auto val="1"/>
        <c:lblAlgn val="ctr"/>
        <c:lblOffset val="100"/>
        <c:noMultiLvlLbl val="0"/>
      </c:catAx>
      <c:valAx>
        <c:axId val="141798400"/>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96864"/>
        <c:crosses val="autoZero"/>
        <c:crossBetween val="between"/>
      </c:valAx>
      <c:catAx>
        <c:axId val="141812480"/>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814016"/>
        <c:crosses val="autoZero"/>
        <c:auto val="1"/>
        <c:lblAlgn val="ctr"/>
        <c:lblOffset val="100"/>
        <c:noMultiLvlLbl val="0"/>
      </c:catAx>
      <c:valAx>
        <c:axId val="141814016"/>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812480"/>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Sheet1!$C$110</c:f>
              <c:strCache>
                <c:ptCount val="1"/>
                <c:pt idx="0">
                  <c:v>增长速度（%）</c:v>
                </c:pt>
              </c:strCache>
            </c:strRef>
          </c:tx>
          <c:dLbls>
            <c:delete val="1"/>
          </c:dLbls>
          <c:cat>
            <c:numRef>
              <c:f>Sheet1!$A$111:$A$125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Sheet1!$C$111:$C$125</c:f>
              <c:numCache>
                <c:formatCode>0.00_);[Red]\(0.00\)</c:formatCode>
                <c:ptCount val="15"/>
                <c:pt idx="0">
                  <c:v>22.2625529340593</c:v>
                </c:pt>
                <c:pt idx="1">
                  <c:v>8.86797837720995</c:v>
                </c:pt>
                <c:pt idx="2">
                  <c:v>14.3426430781879</c:v>
                </c:pt>
                <c:pt idx="3">
                  <c:v>19.2810736820114</c:v>
                </c:pt>
                <c:pt idx="4">
                  <c:v>18.0088097510046</c:v>
                </c:pt>
                <c:pt idx="5">
                  <c:v>67.5098978793287</c:v>
                </c:pt>
                <c:pt idx="6">
                  <c:v>19.0153940334024</c:v>
                </c:pt>
                <c:pt idx="7">
                  <c:v>21.7883009487677</c:v>
                </c:pt>
                <c:pt idx="8">
                  <c:v>18.0874660518893</c:v>
                </c:pt>
                <c:pt idx="9">
                  <c:v>59.4743594958052</c:v>
                </c:pt>
                <c:pt idx="10">
                  <c:v>31.1172143414202</c:v>
                </c:pt>
                <c:pt idx="11">
                  <c:v>6.82745088330794</c:v>
                </c:pt>
                <c:pt idx="12">
                  <c:v>7.10122730313837</c:v>
                </c:pt>
                <c:pt idx="13">
                  <c:v>11.4581577024673</c:v>
                </c:pt>
                <c:pt idx="14">
                  <c:v>7.01022350523782</c:v>
                </c:pt>
              </c:numCache>
            </c:numRef>
          </c:val>
          <c:smooth val="0"/>
        </c:ser>
        <c:ser>
          <c:idx val="2"/>
          <c:order val="2"/>
          <c:tx>
            <c:strRef>
              <c:f>Sheet1!$D$110</c:f>
              <c:strCache>
                <c:ptCount val="1"/>
                <c:pt idx="0">
                  <c:v>占GDP比重(%)</c:v>
                </c:pt>
              </c:strCache>
            </c:strRef>
          </c:tx>
          <c:dLbls>
            <c:delete val="1"/>
          </c:dLbls>
          <c:cat>
            <c:numRef>
              <c:f>Sheet1!$A$111:$A$125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Sheet1!$D$111:$D$125</c:f>
              <c:numCache>
                <c:formatCode>0.00_ </c:formatCode>
                <c:ptCount val="15"/>
                <c:pt idx="0">
                  <c:v>2.41647758806438</c:v>
                </c:pt>
                <c:pt idx="1">
                  <c:v>2.29629801133429</c:v>
                </c:pt>
                <c:pt idx="2">
                  <c:v>2.13245870338762</c:v>
                </c:pt>
                <c:pt idx="3">
                  <c:v>2.16737741448841</c:v>
                </c:pt>
                <c:pt idx="4">
                  <c:v>2.15245211626108</c:v>
                </c:pt>
                <c:pt idx="5">
                  <c:v>2.99655359682772</c:v>
                </c:pt>
                <c:pt idx="6">
                  <c:v>2.96738367964654</c:v>
                </c:pt>
                <c:pt idx="7">
                  <c:v>3.29095592788151</c:v>
                </c:pt>
                <c:pt idx="8">
                  <c:v>3.14768718668199</c:v>
                </c:pt>
                <c:pt idx="9">
                  <c:v>4.05398015179247</c:v>
                </c:pt>
                <c:pt idx="10">
                  <c:v>4.80396296822582</c:v>
                </c:pt>
                <c:pt idx="11">
                  <c:v>4.6115297577617</c:v>
                </c:pt>
                <c:pt idx="12">
                  <c:v>4.52902804584009</c:v>
                </c:pt>
                <c:pt idx="13">
                  <c:v>4.74336543532622</c:v>
                </c:pt>
                <c:pt idx="14">
                  <c:v>4.58878858316666</c:v>
                </c:pt>
              </c:numCache>
            </c:numRef>
          </c:val>
          <c:smooth val="0"/>
        </c:ser>
        <c:ser>
          <c:idx val="3"/>
          <c:order val="3"/>
          <c:tx>
            <c:strRef>
              <c:f>Sheet1!$E$110</c:f>
              <c:strCache>
                <c:ptCount val="1"/>
                <c:pt idx="0">
                  <c:v>占财政支出比重(%)</c:v>
                </c:pt>
              </c:strCache>
            </c:strRef>
          </c:tx>
          <c:dLbls>
            <c:delete val="1"/>
          </c:dLbls>
          <c:cat>
            <c:numRef>
              <c:f>Sheet1!$A$111:$A$125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Sheet1!$E$111:$E$125</c:f>
              <c:numCache>
                <c:formatCode>0.00_ </c:formatCode>
                <c:ptCount val="15"/>
                <c:pt idx="0">
                  <c:v>17.3458609174527</c:v>
                </c:pt>
                <c:pt idx="1">
                  <c:v>16.8717143581714</c:v>
                </c:pt>
                <c:pt idx="2">
                  <c:v>16.2341392036908</c:v>
                </c:pt>
                <c:pt idx="3">
                  <c:v>15.5909052624113</c:v>
                </c:pt>
                <c:pt idx="4">
                  <c:v>14.898653300712</c:v>
                </c:pt>
                <c:pt idx="5">
                  <c:v>19.2040246693528</c:v>
                </c:pt>
                <c:pt idx="6">
                  <c:v>17.0946546200105</c:v>
                </c:pt>
                <c:pt idx="7">
                  <c:v>16.1247286341518</c:v>
                </c:pt>
                <c:pt idx="8">
                  <c:v>15.4682980744238</c:v>
                </c:pt>
                <c:pt idx="9">
                  <c:v>18.7181409295352</c:v>
                </c:pt>
                <c:pt idx="10">
                  <c:v>20.60328473763</c:v>
                </c:pt>
                <c:pt idx="11">
                  <c:v>19.1490635121509</c:v>
                </c:pt>
                <c:pt idx="12">
                  <c:v>18.3305431787158</c:v>
                </c:pt>
                <c:pt idx="13">
                  <c:v>17.9775866562419</c:v>
                </c:pt>
                <c:pt idx="14">
                  <c:v>18.3843721574912</c:v>
                </c:pt>
              </c:numCache>
            </c:numRef>
          </c:val>
          <c:smooth val="0"/>
        </c:ser>
        <c:dLbls>
          <c:showLegendKey val="0"/>
          <c:showVal val="0"/>
          <c:showCatName val="0"/>
          <c:showSerName val="0"/>
          <c:showPercent val="0"/>
          <c:showBubbleSize val="0"/>
        </c:dLbls>
        <c:marker val="1"/>
        <c:smooth val="0"/>
        <c:axId val="141895168"/>
        <c:axId val="141896704"/>
      </c:lineChart>
      <c:lineChart>
        <c:grouping val="standard"/>
        <c:varyColors val="0"/>
        <c:ser>
          <c:idx val="0"/>
          <c:order val="0"/>
          <c:tx>
            <c:strRef>
              <c:f>Sheet1!$B$110</c:f>
              <c:strCache>
                <c:ptCount val="1"/>
                <c:pt idx="0">
                  <c:v>财政教育支出（亿元）</c:v>
                </c:pt>
              </c:strCache>
            </c:strRef>
          </c:tx>
          <c:dLbls>
            <c:delete val="1"/>
          </c:dLbls>
          <c:cat>
            <c:numRef>
              <c:f>Sheet1!$A$111:$A$125</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Sheet1!$B$111:$B$125</c:f>
              <c:numCache>
                <c:formatCode>0.00_ </c:formatCode>
                <c:ptCount val="15"/>
                <c:pt idx="0">
                  <c:v>59.2153</c:v>
                </c:pt>
                <c:pt idx="1">
                  <c:v>64.4665</c:v>
                </c:pt>
                <c:pt idx="2">
                  <c:v>73.7127</c:v>
                </c:pt>
                <c:pt idx="3">
                  <c:v>87.9253</c:v>
                </c:pt>
                <c:pt idx="4">
                  <c:v>103.7596</c:v>
                </c:pt>
                <c:pt idx="5">
                  <c:v>173.8076</c:v>
                </c:pt>
                <c:pt idx="6">
                  <c:v>206.8578</c:v>
                </c:pt>
                <c:pt idx="7">
                  <c:v>251.9286</c:v>
                </c:pt>
                <c:pt idx="8">
                  <c:v>297.4961</c:v>
                </c:pt>
                <c:pt idx="9">
                  <c:v>474.43</c:v>
                </c:pt>
                <c:pt idx="10">
                  <c:v>622.0594</c:v>
                </c:pt>
                <c:pt idx="11">
                  <c:v>664.5302</c:v>
                </c:pt>
                <c:pt idx="12">
                  <c:v>711.72</c:v>
                </c:pt>
                <c:pt idx="13">
                  <c:v>793.27</c:v>
                </c:pt>
                <c:pt idx="14">
                  <c:v>848.88</c:v>
                </c:pt>
              </c:numCache>
            </c:numRef>
          </c:val>
          <c:smooth val="0"/>
        </c:ser>
        <c:dLbls>
          <c:showLegendKey val="0"/>
          <c:showVal val="0"/>
          <c:showCatName val="0"/>
          <c:showSerName val="0"/>
          <c:showPercent val="0"/>
          <c:showBubbleSize val="0"/>
        </c:dLbls>
        <c:marker val="1"/>
        <c:smooth val="0"/>
        <c:axId val="141906688"/>
        <c:axId val="141908224"/>
      </c:lineChart>
      <c:catAx>
        <c:axId val="14189516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896704"/>
        <c:crosses val="autoZero"/>
        <c:auto val="1"/>
        <c:lblAlgn val="ctr"/>
        <c:lblOffset val="100"/>
        <c:noMultiLvlLbl val="0"/>
      </c:catAx>
      <c:valAx>
        <c:axId val="14189670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895168"/>
        <c:crosses val="autoZero"/>
        <c:crossBetween val="between"/>
      </c:valAx>
      <c:catAx>
        <c:axId val="141906688"/>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908224"/>
        <c:crosses val="autoZero"/>
        <c:auto val="1"/>
        <c:lblAlgn val="ctr"/>
        <c:lblOffset val="100"/>
        <c:noMultiLvlLbl val="0"/>
      </c:catAx>
      <c:valAx>
        <c:axId val="141908224"/>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906688"/>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Sheet1!$C$128</c:f>
              <c:strCache>
                <c:ptCount val="1"/>
                <c:pt idx="0">
                  <c:v>增长速度（%）</c:v>
                </c:pt>
              </c:strCache>
            </c:strRef>
          </c:tx>
          <c:dLbls>
            <c:delete val="1"/>
          </c:dLbls>
          <c:cat>
            <c:numRef>
              <c:f>Sheet1!$A$129:$A$143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Sheet1!$C$129:$C$143</c:f>
              <c:numCache>
                <c:formatCode>0.00_);[Red]\(0.00\)</c:formatCode>
                <c:ptCount val="15"/>
                <c:pt idx="0">
                  <c:v>18.1652800049945</c:v>
                </c:pt>
                <c:pt idx="1">
                  <c:v>10.0581719306458</c:v>
                </c:pt>
                <c:pt idx="2">
                  <c:v>14.3344847065338</c:v>
                </c:pt>
                <c:pt idx="3">
                  <c:v>21.4423390506395</c:v>
                </c:pt>
                <c:pt idx="4">
                  <c:v>17.5018211172414</c:v>
                </c:pt>
                <c:pt idx="5">
                  <c:v>55.108577653439</c:v>
                </c:pt>
                <c:pt idx="6">
                  <c:v>21.5360993335501</c:v>
                </c:pt>
                <c:pt idx="7">
                  <c:v>11.341979179768</c:v>
                </c:pt>
                <c:pt idx="8">
                  <c:v>25.5850496441323</c:v>
                </c:pt>
                <c:pt idx="9">
                  <c:v>36.011916196204</c:v>
                </c:pt>
                <c:pt idx="10">
                  <c:v>25.1837866208608</c:v>
                </c:pt>
                <c:pt idx="11">
                  <c:v>6.69847078165596</c:v>
                </c:pt>
                <c:pt idx="12">
                  <c:v>4.38592198240802</c:v>
                </c:pt>
                <c:pt idx="13">
                  <c:v>15.7118804155887</c:v>
                </c:pt>
                <c:pt idx="14">
                  <c:v>8.00712164767955</c:v>
                </c:pt>
              </c:numCache>
            </c:numRef>
          </c:val>
          <c:smooth val="0"/>
        </c:ser>
        <c:ser>
          <c:idx val="2"/>
          <c:order val="2"/>
          <c:tx>
            <c:strRef>
              <c:f>Sheet1!$D$128</c:f>
              <c:strCache>
                <c:ptCount val="1"/>
                <c:pt idx="0">
                  <c:v>占GDP比重(%)</c:v>
                </c:pt>
              </c:strCache>
            </c:strRef>
          </c:tx>
          <c:dLbls>
            <c:delete val="1"/>
          </c:dLbls>
          <c:cat>
            <c:numRef>
              <c:f>Sheet1!$A$129:$A$143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Sheet1!$D$129:$D$143</c:f>
              <c:numCache>
                <c:formatCode>0.00_);[Red]\(0.00\)</c:formatCode>
                <c:ptCount val="15"/>
                <c:pt idx="0">
                  <c:v>1.58411853437789</c:v>
                </c:pt>
                <c:pt idx="1">
                  <c:v>1.48324370868055</c:v>
                </c:pt>
                <c:pt idx="2">
                  <c:v>1.36353735627593</c:v>
                </c:pt>
                <c:pt idx="3">
                  <c:v>1.35433201193235</c:v>
                </c:pt>
                <c:pt idx="4">
                  <c:v>1.33461810148679</c:v>
                </c:pt>
                <c:pt idx="5">
                  <c:v>1.75877325870323</c:v>
                </c:pt>
                <c:pt idx="6">
                  <c:v>1.7812301185002</c:v>
                </c:pt>
                <c:pt idx="7">
                  <c:v>1.80987324706129</c:v>
                </c:pt>
                <c:pt idx="8">
                  <c:v>1.96693585281767</c:v>
                </c:pt>
                <c:pt idx="9">
                  <c:v>2.31009096851209</c:v>
                </c:pt>
                <c:pt idx="10">
                  <c:v>2.6229072541591</c:v>
                </c:pt>
                <c:pt idx="11">
                  <c:v>2.53424477714415</c:v>
                </c:pt>
                <c:pt idx="12">
                  <c:v>2.45859639599041</c:v>
                </c:pt>
                <c:pt idx="13">
                  <c:v>2.68342456540893</c:v>
                </c:pt>
                <c:pt idx="14">
                  <c:v>2.68431266445364</c:v>
                </c:pt>
              </c:numCache>
            </c:numRef>
          </c:val>
          <c:smooth val="0"/>
        </c:ser>
        <c:ser>
          <c:idx val="3"/>
          <c:order val="3"/>
          <c:tx>
            <c:strRef>
              <c:f>Sheet1!$E$128</c:f>
              <c:strCache>
                <c:ptCount val="1"/>
                <c:pt idx="0">
                  <c:v>占财政支出比重(%)</c:v>
                </c:pt>
              </c:strCache>
            </c:strRef>
          </c:tx>
          <c:dLbls>
            <c:delete val="1"/>
          </c:dLbls>
          <c:cat>
            <c:numRef>
              <c:f>Sheet1!$A$129:$A$143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Sheet1!$E$129:$E$143</c:f>
              <c:numCache>
                <c:formatCode>0.00_);[Red]\(0.00\)</c:formatCode>
                <c:ptCount val="15"/>
                <c:pt idx="0">
                  <c:v>18.9087645931347</c:v>
                </c:pt>
                <c:pt idx="1">
                  <c:v>17.7262416519441</c:v>
                </c:pt>
                <c:pt idx="2">
                  <c:v>17.2215647321661</c:v>
                </c:pt>
                <c:pt idx="3">
                  <c:v>16.965202730191</c:v>
                </c:pt>
                <c:pt idx="4">
                  <c:v>15.9418306571254</c:v>
                </c:pt>
                <c:pt idx="5">
                  <c:v>20.0436589613942</c:v>
                </c:pt>
                <c:pt idx="6">
                  <c:v>20.3719741174246</c:v>
                </c:pt>
                <c:pt idx="7">
                  <c:v>18.7744202936427</c:v>
                </c:pt>
                <c:pt idx="8">
                  <c:v>18.5872437172982</c:v>
                </c:pt>
                <c:pt idx="9">
                  <c:v>20.9493269786309</c:v>
                </c:pt>
                <c:pt idx="10">
                  <c:v>22.2168976750485</c:v>
                </c:pt>
                <c:pt idx="11">
                  <c:v>20.925599509628</c:v>
                </c:pt>
                <c:pt idx="12">
                  <c:v>20.3566517260645</c:v>
                </c:pt>
                <c:pt idx="13">
                  <c:v>20.4923387971651</c:v>
                </c:pt>
                <c:pt idx="14">
                  <c:v>20.8560388614322</c:v>
                </c:pt>
              </c:numCache>
            </c:numRef>
          </c:val>
          <c:smooth val="0"/>
        </c:ser>
        <c:dLbls>
          <c:showLegendKey val="0"/>
          <c:showVal val="0"/>
          <c:showCatName val="0"/>
          <c:showSerName val="0"/>
          <c:showPercent val="0"/>
          <c:showBubbleSize val="0"/>
        </c:dLbls>
        <c:marker val="1"/>
        <c:smooth val="0"/>
        <c:axId val="141948416"/>
        <c:axId val="141949952"/>
      </c:lineChart>
      <c:lineChart>
        <c:grouping val="standard"/>
        <c:varyColors val="0"/>
        <c:ser>
          <c:idx val="0"/>
          <c:order val="0"/>
          <c:tx>
            <c:strRef>
              <c:f>Sheet1!$B$128</c:f>
              <c:strCache>
                <c:ptCount val="1"/>
                <c:pt idx="0">
                  <c:v>财政教育支出（亿元）</c:v>
                </c:pt>
              </c:strCache>
            </c:strRef>
          </c:tx>
          <c:dLbls>
            <c:delete val="1"/>
          </c:dLbls>
          <c:cat>
            <c:numRef>
              <c:f>Sheet1!$A$129:$A$143</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Sheet1!$B$129:$B$143</c:f>
              <c:numCache>
                <c:formatCode>0.00_);[Red]\(0.00\)</c:formatCode>
                <c:ptCount val="15"/>
                <c:pt idx="0">
                  <c:v>162.7761</c:v>
                </c:pt>
                <c:pt idx="1">
                  <c:v>179.1484</c:v>
                </c:pt>
                <c:pt idx="2">
                  <c:v>204.8284</c:v>
                </c:pt>
                <c:pt idx="3">
                  <c:v>248.7484</c:v>
                </c:pt>
                <c:pt idx="4">
                  <c:v>292.2839</c:v>
                </c:pt>
                <c:pt idx="5">
                  <c:v>453.3574</c:v>
                </c:pt>
                <c:pt idx="6">
                  <c:v>550.9929</c:v>
                </c:pt>
                <c:pt idx="7">
                  <c:v>613.4864</c:v>
                </c:pt>
                <c:pt idx="8">
                  <c:v>770.447199999999</c:v>
                </c:pt>
                <c:pt idx="9">
                  <c:v>1047.9</c:v>
                </c:pt>
                <c:pt idx="10">
                  <c:v>1311.8009</c:v>
                </c:pt>
                <c:pt idx="11">
                  <c:v>1399.6715</c:v>
                </c:pt>
                <c:pt idx="12">
                  <c:v>1461.06</c:v>
                </c:pt>
                <c:pt idx="13">
                  <c:v>1690.62</c:v>
                </c:pt>
                <c:pt idx="14">
                  <c:v>1825.99</c:v>
                </c:pt>
              </c:numCache>
            </c:numRef>
          </c:val>
          <c:smooth val="0"/>
        </c:ser>
        <c:dLbls>
          <c:showLegendKey val="0"/>
          <c:showVal val="0"/>
          <c:showCatName val="0"/>
          <c:showSerName val="0"/>
          <c:showPercent val="0"/>
          <c:showBubbleSize val="0"/>
        </c:dLbls>
        <c:marker val="1"/>
        <c:smooth val="0"/>
        <c:axId val="141955840"/>
        <c:axId val="141957376"/>
      </c:lineChart>
      <c:catAx>
        <c:axId val="1419484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949952"/>
        <c:crosses val="autoZero"/>
        <c:auto val="1"/>
        <c:lblAlgn val="ctr"/>
        <c:lblOffset val="100"/>
        <c:noMultiLvlLbl val="0"/>
      </c:catAx>
      <c:valAx>
        <c:axId val="14194995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948416"/>
        <c:crosses val="autoZero"/>
        <c:crossBetween val="between"/>
      </c:valAx>
      <c:catAx>
        <c:axId val="141955840"/>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957376"/>
        <c:crosses val="autoZero"/>
        <c:auto val="1"/>
        <c:lblAlgn val="ctr"/>
        <c:lblOffset val="100"/>
        <c:noMultiLvlLbl val="0"/>
      </c:catAx>
      <c:valAx>
        <c:axId val="141957376"/>
        <c:scaling>
          <c:orientation val="minMax"/>
        </c:scaling>
        <c:delete val="0"/>
        <c:axPos val="r"/>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955840"/>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c:f>
              <c:strCache>
                <c:ptCount val="1"/>
                <c:pt idx="0">
                  <c:v>上海市</c:v>
                </c:pt>
              </c:strCache>
            </c:strRef>
          </c:tx>
          <c:spPr>
            <a:ln w="22225" cap="rnd" cmpd="sng" algn="ctr">
              <a:solidFill>
                <a:schemeClr val="accent1">
                  <a:shade val="76667"/>
                  <a:shade val="95000"/>
                  <a:satMod val="105000"/>
                </a:schemeClr>
              </a:solidFill>
              <a:prstDash val="solid"/>
              <a:round/>
            </a:ln>
          </c:spPr>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Sheet1!$B$3:$B$17</c:f>
              <c:numCache>
                <c:formatCode>0.00_ </c:formatCode>
                <c:ptCount val="15"/>
                <c:pt idx="0">
                  <c:v>116.0659</c:v>
                </c:pt>
                <c:pt idx="1">
                  <c:v>131.3724</c:v>
                </c:pt>
                <c:pt idx="2">
                  <c:v>155.35</c:v>
                </c:pt>
                <c:pt idx="3">
                  <c:v>182.9415</c:v>
                </c:pt>
                <c:pt idx="4">
                  <c:v>205.46</c:v>
                </c:pt>
                <c:pt idx="5">
                  <c:v>283.3335</c:v>
                </c:pt>
                <c:pt idx="6">
                  <c:v>326.0628</c:v>
                </c:pt>
                <c:pt idx="7">
                  <c:v>346.9518</c:v>
                </c:pt>
                <c:pt idx="8">
                  <c:v>417.2775</c:v>
                </c:pt>
                <c:pt idx="9">
                  <c:v>549.24</c:v>
                </c:pt>
                <c:pt idx="10">
                  <c:v>648.9518</c:v>
                </c:pt>
                <c:pt idx="11">
                  <c:v>679.5418</c:v>
                </c:pt>
                <c:pt idx="12">
                  <c:v>695.63</c:v>
                </c:pt>
                <c:pt idx="13">
                  <c:v>767.32</c:v>
                </c:pt>
                <c:pt idx="14">
                  <c:v>840.97</c:v>
                </c:pt>
              </c:numCache>
            </c:numRef>
          </c:val>
          <c:smooth val="0"/>
        </c:ser>
        <c:ser>
          <c:idx val="1"/>
          <c:order val="1"/>
          <c:tx>
            <c:strRef>
              <c:f>Sheet1!$C$2</c:f>
              <c:strCache>
                <c:ptCount val="1"/>
                <c:pt idx="0">
                  <c:v>江苏省</c:v>
                </c:pt>
              </c:strCache>
            </c:strRef>
          </c:tx>
          <c:spPr>
            <a:ln w="22225" cap="rnd" cmpd="sng" algn="ctr">
              <a:solidFill>
                <a:schemeClr val="accent2">
                  <a:shade val="76667"/>
                  <a:shade val="95000"/>
                  <a:satMod val="105000"/>
                </a:schemeClr>
              </a:solidFill>
              <a:prstDash val="solid"/>
              <a:round/>
            </a:ln>
          </c:spPr>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Sheet1!$C$3:$C$17</c:f>
              <c:numCache>
                <c:formatCode>0.00_ </c:formatCode>
                <c:ptCount val="15"/>
                <c:pt idx="0">
                  <c:v>162.407</c:v>
                </c:pt>
                <c:pt idx="1">
                  <c:v>179.0766</c:v>
                </c:pt>
                <c:pt idx="2">
                  <c:v>214.3705</c:v>
                </c:pt>
                <c:pt idx="3">
                  <c:v>258.2399</c:v>
                </c:pt>
                <c:pt idx="4">
                  <c:v>298.2252</c:v>
                </c:pt>
                <c:pt idx="5">
                  <c:v>492.8972</c:v>
                </c:pt>
                <c:pt idx="6">
                  <c:v>592.6032</c:v>
                </c:pt>
                <c:pt idx="7">
                  <c:v>680.6288</c:v>
                </c:pt>
                <c:pt idx="8">
                  <c:v>865.3615</c:v>
                </c:pt>
                <c:pt idx="9">
                  <c:v>1093.22</c:v>
                </c:pt>
                <c:pt idx="10">
                  <c:v>1350.6067</c:v>
                </c:pt>
                <c:pt idx="11">
                  <c:v>1434.9863</c:v>
                </c:pt>
                <c:pt idx="12">
                  <c:v>1504.86</c:v>
                </c:pt>
                <c:pt idx="13">
                  <c:v>1746.22</c:v>
                </c:pt>
                <c:pt idx="14">
                  <c:v>1842.94</c:v>
                </c:pt>
              </c:numCache>
            </c:numRef>
          </c:val>
          <c:smooth val="0"/>
        </c:ser>
        <c:ser>
          <c:idx val="2"/>
          <c:order val="2"/>
          <c:tx>
            <c:strRef>
              <c:f>Sheet1!$D$2</c:f>
              <c:strCache>
                <c:ptCount val="1"/>
                <c:pt idx="0">
                  <c:v>浙江省</c:v>
                </c:pt>
              </c:strCache>
            </c:strRef>
          </c:tx>
          <c:spPr>
            <a:ln w="22225" cap="rnd" cmpd="sng" algn="ctr">
              <a:solidFill>
                <a:schemeClr val="accent3">
                  <a:shade val="76667"/>
                  <a:shade val="95000"/>
                  <a:satMod val="105000"/>
                </a:schemeClr>
              </a:solidFill>
              <a:prstDash val="solid"/>
              <a:round/>
            </a:ln>
          </c:spPr>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Sheet1!$D$3:$D$17</c:f>
              <c:numCache>
                <c:formatCode>0.00_ </c:formatCode>
                <c:ptCount val="15"/>
                <c:pt idx="0">
                  <c:v>136.9386</c:v>
                </c:pt>
                <c:pt idx="1">
                  <c:v>164.2075</c:v>
                </c:pt>
                <c:pt idx="2">
                  <c:v>200.0797</c:v>
                </c:pt>
                <c:pt idx="3">
                  <c:v>231.5489</c:v>
                </c:pt>
                <c:pt idx="4">
                  <c:v>269.0418</c:v>
                </c:pt>
                <c:pt idx="5">
                  <c:v>383.8886</c:v>
                </c:pt>
                <c:pt idx="6">
                  <c:v>453.9902</c:v>
                </c:pt>
                <c:pt idx="7">
                  <c:v>519.330299999999</c:v>
                </c:pt>
                <c:pt idx="8">
                  <c:v>606.5431</c:v>
                </c:pt>
                <c:pt idx="9">
                  <c:v>751.42</c:v>
                </c:pt>
                <c:pt idx="10">
                  <c:v>877.862499999999</c:v>
                </c:pt>
                <c:pt idx="11">
                  <c:v>950.065</c:v>
                </c:pt>
                <c:pt idx="12">
                  <c:v>1030.99</c:v>
                </c:pt>
                <c:pt idx="13">
                  <c:v>1264.93</c:v>
                </c:pt>
                <c:pt idx="14">
                  <c:v>1300.03</c:v>
                </c:pt>
              </c:numCache>
            </c:numRef>
          </c:val>
          <c:smooth val="0"/>
        </c:ser>
        <c:ser>
          <c:idx val="3"/>
          <c:order val="3"/>
          <c:tx>
            <c:strRef>
              <c:f>Sheet1!$E$2</c:f>
              <c:strCache>
                <c:ptCount val="1"/>
                <c:pt idx="0">
                  <c:v>安徽省</c:v>
                </c:pt>
              </c:strCache>
            </c:strRef>
          </c:tx>
          <c:spPr>
            <a:ln w="22225" cap="rnd" cmpd="sng" algn="ctr">
              <a:solidFill>
                <a:schemeClr val="accent4">
                  <a:shade val="76667"/>
                  <a:shade val="95000"/>
                  <a:satMod val="105000"/>
                </a:schemeClr>
              </a:solidFill>
              <a:prstDash val="solid"/>
              <a:round/>
            </a:ln>
          </c:spPr>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Sheet1!$E$3:$E$17</c:f>
              <c:numCache>
                <c:formatCode>0.00_ </c:formatCode>
                <c:ptCount val="15"/>
                <c:pt idx="0">
                  <c:v>76.9113</c:v>
                </c:pt>
                <c:pt idx="1">
                  <c:v>84.5575</c:v>
                </c:pt>
                <c:pt idx="2">
                  <c:v>105.5638</c:v>
                </c:pt>
                <c:pt idx="3">
                  <c:v>117.4312</c:v>
                </c:pt>
                <c:pt idx="4">
                  <c:v>152.0858</c:v>
                </c:pt>
                <c:pt idx="5">
                  <c:v>212.9665</c:v>
                </c:pt>
                <c:pt idx="6">
                  <c:v>286.2557</c:v>
                </c:pt>
                <c:pt idx="7">
                  <c:v>323.7914</c:v>
                </c:pt>
                <c:pt idx="8">
                  <c:v>386.3071</c:v>
                </c:pt>
                <c:pt idx="9">
                  <c:v>564.71</c:v>
                </c:pt>
                <c:pt idx="10">
                  <c:v>717.9357</c:v>
                </c:pt>
                <c:pt idx="11">
                  <c:v>736.5882</c:v>
                </c:pt>
                <c:pt idx="12">
                  <c:v>743.07</c:v>
                </c:pt>
                <c:pt idx="13">
                  <c:v>856.73</c:v>
                </c:pt>
                <c:pt idx="14">
                  <c:v>910.87</c:v>
                </c:pt>
              </c:numCache>
            </c:numRef>
          </c:val>
          <c:smooth val="0"/>
        </c:ser>
        <c:ser>
          <c:idx val="4"/>
          <c:order val="4"/>
          <c:tx>
            <c:strRef>
              <c:f>Sheet1!$F$2</c:f>
              <c:strCache>
                <c:ptCount val="1"/>
                <c:pt idx="0">
                  <c:v>福建省</c:v>
                </c:pt>
              </c:strCache>
            </c:strRef>
          </c:tx>
          <c:spPr>
            <a:ln w="22225" cap="rnd" cmpd="sng" algn="ctr">
              <a:solidFill>
                <a:schemeClr val="accent5">
                  <a:shade val="76667"/>
                  <a:shade val="95000"/>
                  <a:satMod val="105000"/>
                </a:schemeClr>
              </a:solidFill>
              <a:prstDash val="solid"/>
              <a:round/>
            </a:ln>
          </c:spPr>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Sheet1!$F$3:$F$17</c:f>
              <c:numCache>
                <c:formatCode>0.00_ </c:formatCode>
                <c:ptCount val="15"/>
                <c:pt idx="0">
                  <c:v>81.0822</c:v>
                </c:pt>
                <c:pt idx="1">
                  <c:v>92.967</c:v>
                </c:pt>
                <c:pt idx="2">
                  <c:v>100.8963</c:v>
                </c:pt>
                <c:pt idx="3">
                  <c:v>111.5121</c:v>
                </c:pt>
                <c:pt idx="4">
                  <c:v>136.2444</c:v>
                </c:pt>
                <c:pt idx="5">
                  <c:v>183.655</c:v>
                </c:pt>
                <c:pt idx="6">
                  <c:v>233.2923</c:v>
                </c:pt>
                <c:pt idx="7">
                  <c:v>277.5527</c:v>
                </c:pt>
                <c:pt idx="8">
                  <c:v>327.7681</c:v>
                </c:pt>
                <c:pt idx="9">
                  <c:v>406.73</c:v>
                </c:pt>
                <c:pt idx="10">
                  <c:v>562.3008</c:v>
                </c:pt>
                <c:pt idx="11">
                  <c:v>574.9113</c:v>
                </c:pt>
                <c:pt idx="12">
                  <c:v>634.6</c:v>
                </c:pt>
                <c:pt idx="13">
                  <c:v>757.51</c:v>
                </c:pt>
                <c:pt idx="14">
                  <c:v>789.11</c:v>
                </c:pt>
              </c:numCache>
            </c:numRef>
          </c:val>
          <c:smooth val="0"/>
        </c:ser>
        <c:ser>
          <c:idx val="5"/>
          <c:order val="5"/>
          <c:tx>
            <c:strRef>
              <c:f>Sheet1!$G$2</c:f>
              <c:strCache>
                <c:ptCount val="1"/>
                <c:pt idx="0">
                  <c:v>江西省</c:v>
                </c:pt>
              </c:strCache>
            </c:strRef>
          </c:tx>
          <c:spPr>
            <a:ln w="22225" cap="rnd" cmpd="sng" algn="ctr">
              <a:solidFill>
                <a:schemeClr val="accent6">
                  <a:shade val="76667"/>
                  <a:shade val="95000"/>
                  <a:satMod val="105000"/>
                </a:schemeClr>
              </a:solidFill>
              <a:prstDash val="solid"/>
              <a:round/>
            </a:ln>
          </c:spPr>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Sheet1!$G$3:$G$17</c:f>
              <c:numCache>
                <c:formatCode>0.00_ </c:formatCode>
                <c:ptCount val="15"/>
                <c:pt idx="0">
                  <c:v>59.2153</c:v>
                </c:pt>
                <c:pt idx="1">
                  <c:v>64.4665</c:v>
                </c:pt>
                <c:pt idx="2">
                  <c:v>73.7127</c:v>
                </c:pt>
                <c:pt idx="3">
                  <c:v>87.9253</c:v>
                </c:pt>
                <c:pt idx="4">
                  <c:v>103.7596</c:v>
                </c:pt>
                <c:pt idx="5">
                  <c:v>173.8076</c:v>
                </c:pt>
                <c:pt idx="6">
                  <c:v>206.8578</c:v>
                </c:pt>
                <c:pt idx="7">
                  <c:v>251.9286</c:v>
                </c:pt>
                <c:pt idx="8">
                  <c:v>297.4961</c:v>
                </c:pt>
                <c:pt idx="9">
                  <c:v>474.43</c:v>
                </c:pt>
                <c:pt idx="10">
                  <c:v>622.0594</c:v>
                </c:pt>
                <c:pt idx="11">
                  <c:v>664.5302</c:v>
                </c:pt>
                <c:pt idx="12">
                  <c:v>711.72</c:v>
                </c:pt>
                <c:pt idx="13">
                  <c:v>793.27</c:v>
                </c:pt>
                <c:pt idx="14">
                  <c:v>848.88</c:v>
                </c:pt>
              </c:numCache>
            </c:numRef>
          </c:val>
          <c:smooth val="0"/>
        </c:ser>
        <c:ser>
          <c:idx val="6"/>
          <c:order val="6"/>
          <c:tx>
            <c:strRef>
              <c:f>Sheet1!$H$2</c:f>
              <c:strCache>
                <c:ptCount val="1"/>
                <c:pt idx="0">
                  <c:v>山东省</c:v>
                </c:pt>
              </c:strCache>
            </c:strRef>
          </c:tx>
          <c:spPr>
            <a:ln w="22225" cap="rnd" cmpd="sng" algn="ctr">
              <a:solidFill>
                <a:schemeClr val="accent1">
                  <a:tint val="76667"/>
                  <a:shade val="95000"/>
                  <a:satMod val="105000"/>
                </a:schemeClr>
              </a:solidFill>
              <a:prstDash val="solid"/>
              <a:round/>
            </a:ln>
          </c:spPr>
          <c:dLbls>
            <c:delete val="1"/>
          </c:dLbls>
          <c:cat>
            <c:numRef>
              <c:f>Sheet1!$A$3:$A$17</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Sheet1!$H$3:$H$17</c:f>
              <c:numCache>
                <c:formatCode>0.00_ </c:formatCode>
                <c:ptCount val="15"/>
                <c:pt idx="0">
                  <c:v>162.7761</c:v>
                </c:pt>
                <c:pt idx="1">
                  <c:v>179.1484</c:v>
                </c:pt>
                <c:pt idx="2">
                  <c:v>204.8284</c:v>
                </c:pt>
                <c:pt idx="3">
                  <c:v>248.7484</c:v>
                </c:pt>
                <c:pt idx="4">
                  <c:v>292.2839</c:v>
                </c:pt>
                <c:pt idx="5">
                  <c:v>453.3574</c:v>
                </c:pt>
                <c:pt idx="6">
                  <c:v>550.9929</c:v>
                </c:pt>
                <c:pt idx="7">
                  <c:v>613.4864</c:v>
                </c:pt>
                <c:pt idx="8">
                  <c:v>770.447199999999</c:v>
                </c:pt>
                <c:pt idx="9">
                  <c:v>1047.9</c:v>
                </c:pt>
                <c:pt idx="10">
                  <c:v>1311.8009</c:v>
                </c:pt>
                <c:pt idx="11">
                  <c:v>1399.6715</c:v>
                </c:pt>
                <c:pt idx="12">
                  <c:v>1461.06</c:v>
                </c:pt>
                <c:pt idx="13">
                  <c:v>1690.62</c:v>
                </c:pt>
                <c:pt idx="14">
                  <c:v>1825.99</c:v>
                </c:pt>
              </c:numCache>
            </c:numRef>
          </c:val>
          <c:smooth val="0"/>
        </c:ser>
        <c:dLbls>
          <c:showLegendKey val="0"/>
          <c:showVal val="0"/>
          <c:showCatName val="0"/>
          <c:showSerName val="0"/>
          <c:showPercent val="0"/>
          <c:showBubbleSize val="0"/>
        </c:dLbls>
        <c:marker val="1"/>
        <c:smooth val="0"/>
        <c:axId val="141990528"/>
        <c:axId val="142000512"/>
      </c:lineChart>
      <c:catAx>
        <c:axId val="14199052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2000512"/>
        <c:crosses val="autoZero"/>
        <c:auto val="1"/>
        <c:lblAlgn val="ctr"/>
        <c:lblOffset val="100"/>
        <c:noMultiLvlLbl val="0"/>
      </c:catAx>
      <c:valAx>
        <c:axId val="142000512"/>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990528"/>
        <c:crosses val="autoZero"/>
        <c:crossBetween val="between"/>
        <c:majorUnit val="20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1A091-3593-4AFD-9C15-2B02D26C8282}">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29</Pages>
  <Words>3221</Words>
  <Characters>18362</Characters>
  <Lines>153</Lines>
  <Paragraphs>43</Paragraphs>
  <TotalTime>0</TotalTime>
  <ScaleCrop>false</ScaleCrop>
  <LinksUpToDate>false</LinksUpToDate>
  <CharactersWithSpaces>21540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2018-06-12T15:13:00Z</dcterms:created>
  <dc:creator>Windows User</dc:creator>
  <cp:lastModifiedBy>1383</cp:lastModifiedBy>
  <cp:lastPrinted>2018-06-12T07:45:00Z</cp:lastPrinted>
  <dcterms:modified xsi:type="dcterms:W3CDTF">2018-10-09T01:01:07Z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2052-10.1.0.7566</vt:lpwstr>
  </property>
</Properties>
</file>